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8AB276" w14:textId="6B9904B2" w:rsidR="00371524" w:rsidRDefault="00371524" w:rsidP="00371524">
      <w:pPr>
        <w:jc w:val="center"/>
        <w:rPr>
          <w:rFonts w:ascii="Times New Roman" w:hAnsi="Times New Roman" w:cs="Times New Roman"/>
          <w:sz w:val="24"/>
          <w:szCs w:val="24"/>
        </w:rPr>
      </w:pPr>
      <w:r>
        <w:rPr>
          <w:rFonts w:ascii="Times New Roman" w:hAnsi="Times New Roman" w:cs="Times New Roman"/>
          <w:b/>
          <w:sz w:val="24"/>
          <w:szCs w:val="24"/>
        </w:rPr>
        <w:t>DISCOVERING THE REPTILE</w:t>
      </w:r>
    </w:p>
    <w:p w14:paraId="00DA7E23" w14:textId="6C229563" w:rsidR="00371524" w:rsidRDefault="00371524" w:rsidP="00371524">
      <w:pPr>
        <w:jc w:val="center"/>
        <w:rPr>
          <w:rFonts w:ascii="Georgia" w:hAnsi="Georgia" w:cs="Times New Roman"/>
          <w:sz w:val="24"/>
          <w:szCs w:val="24"/>
        </w:rPr>
      </w:pPr>
      <w:r>
        <w:rPr>
          <w:rFonts w:ascii="Georgia" w:hAnsi="Georgia" w:cs="Times New Roman"/>
          <w:b/>
          <w:sz w:val="24"/>
          <w:szCs w:val="24"/>
        </w:rPr>
        <w:t>Matt Moffett</w:t>
      </w:r>
      <w:r>
        <w:rPr>
          <w:rFonts w:ascii="Georgia" w:hAnsi="Georgia" w:cs="Times New Roman"/>
          <w:sz w:val="24"/>
          <w:szCs w:val="24"/>
        </w:rPr>
        <w:br/>
        <w:t xml:space="preserve">Gray, Rust, St. Amand, </w:t>
      </w:r>
      <w:r w:rsidR="00D8136D">
        <w:rPr>
          <w:rFonts w:ascii="Georgia" w:hAnsi="Georgia" w:cs="Times New Roman"/>
          <w:sz w:val="24"/>
          <w:szCs w:val="24"/>
        </w:rPr>
        <w:t>Moffett &amp; Brieske</w:t>
      </w:r>
      <w:r w:rsidR="00D8136D">
        <w:rPr>
          <w:rFonts w:ascii="Georgia" w:hAnsi="Georgia" w:cs="Times New Roman"/>
          <w:sz w:val="24"/>
          <w:szCs w:val="24"/>
        </w:rPr>
        <w:br/>
        <w:t>(404) 870-7390</w:t>
      </w:r>
      <w:r>
        <w:rPr>
          <w:rFonts w:ascii="Georgia" w:hAnsi="Georgia" w:cs="Times New Roman"/>
          <w:sz w:val="24"/>
          <w:szCs w:val="24"/>
        </w:rPr>
        <w:br/>
        <w:t>mmoffett@grsmb.com</w:t>
      </w:r>
    </w:p>
    <w:p w14:paraId="5925BEB5" w14:textId="4CECC3D4" w:rsidR="00371524" w:rsidRDefault="00F42258" w:rsidP="00371524">
      <w:pPr>
        <w:jc w:val="center"/>
        <w:rPr>
          <w:rFonts w:ascii="Georgia" w:hAnsi="Georgia" w:cs="Times New Roman"/>
          <w:sz w:val="24"/>
          <w:szCs w:val="24"/>
        </w:rPr>
      </w:pPr>
      <w:r>
        <w:rPr>
          <w:rFonts w:ascii="Georgia" w:hAnsi="Georgia" w:cs="Times New Roman"/>
          <w:b/>
          <w:sz w:val="24"/>
          <w:szCs w:val="24"/>
        </w:rPr>
        <w:t>Jeff Wasick</w:t>
      </w:r>
      <w:r w:rsidR="00371524">
        <w:rPr>
          <w:rFonts w:ascii="Georgia" w:hAnsi="Georgia" w:cs="Times New Roman"/>
          <w:sz w:val="24"/>
          <w:szCs w:val="24"/>
        </w:rPr>
        <w:br/>
        <w:t xml:space="preserve">Gray, Rust, St. Amand, </w:t>
      </w:r>
      <w:r>
        <w:rPr>
          <w:rFonts w:ascii="Georgia" w:hAnsi="Georgia" w:cs="Times New Roman"/>
          <w:sz w:val="24"/>
          <w:szCs w:val="24"/>
        </w:rPr>
        <w:t>Moffett &amp; Brieske</w:t>
      </w:r>
      <w:r>
        <w:rPr>
          <w:rFonts w:ascii="Georgia" w:hAnsi="Georgia" w:cs="Times New Roman"/>
          <w:sz w:val="24"/>
          <w:szCs w:val="24"/>
        </w:rPr>
        <w:br/>
        <w:t>(404) 870-7444</w:t>
      </w:r>
      <w:r w:rsidR="00371524">
        <w:rPr>
          <w:rFonts w:ascii="Georgia" w:hAnsi="Georgia" w:cs="Times New Roman"/>
          <w:sz w:val="24"/>
          <w:szCs w:val="24"/>
        </w:rPr>
        <w:br/>
      </w:r>
      <w:r>
        <w:rPr>
          <w:rFonts w:ascii="Georgia" w:hAnsi="Georgia" w:cs="Times New Roman"/>
          <w:sz w:val="24"/>
          <w:szCs w:val="24"/>
        </w:rPr>
        <w:t>jwasick</w:t>
      </w:r>
      <w:r w:rsidR="00371524">
        <w:rPr>
          <w:rFonts w:ascii="Georgia" w:hAnsi="Georgia" w:cs="Times New Roman"/>
          <w:sz w:val="24"/>
          <w:szCs w:val="24"/>
        </w:rPr>
        <w:t>@grsmb.com</w:t>
      </w:r>
    </w:p>
    <w:p w14:paraId="68561F84" w14:textId="42D4E74B" w:rsidR="00371524" w:rsidRDefault="00371524" w:rsidP="00371524">
      <w:pPr>
        <w:rPr>
          <w:rFonts w:ascii="Times New Roman" w:hAnsi="Times New Roman" w:cs="Times New Roman"/>
          <w:sz w:val="24"/>
          <w:szCs w:val="24"/>
        </w:rPr>
      </w:pPr>
      <w:r>
        <w:rPr>
          <w:rFonts w:ascii="Times New Roman" w:hAnsi="Times New Roman" w:cs="Times New Roman"/>
          <w:b/>
          <w:sz w:val="24"/>
          <w:szCs w:val="24"/>
        </w:rPr>
        <w:t xml:space="preserve">Matt Moffett Biography: </w:t>
      </w:r>
      <w:r w:rsidRPr="00371524">
        <w:rPr>
          <w:rFonts w:ascii="Times New Roman" w:hAnsi="Times New Roman" w:cs="Times New Roman"/>
          <w:sz w:val="24"/>
          <w:szCs w:val="24"/>
        </w:rPr>
        <w:t>Matt Moffett is an “AV” rated (Martindale-Hubbell) attorney, listed among the top 100 lawyers in Georgia (Super Lawyers) in Atlanta Magazine, and selected among the Legal Elite in Georgia Trend magazine. Matt’s jury trial experience for the defense totals well over 100.</w:t>
      </w:r>
      <w:r>
        <w:rPr>
          <w:rFonts w:ascii="Times New Roman" w:hAnsi="Times New Roman" w:cs="Times New Roman"/>
          <w:b/>
          <w:sz w:val="24"/>
          <w:szCs w:val="24"/>
        </w:rPr>
        <w:t xml:space="preserve"> </w:t>
      </w:r>
      <w:r w:rsidRPr="00371524">
        <w:rPr>
          <w:rFonts w:ascii="Times New Roman" w:hAnsi="Times New Roman" w:cs="Times New Roman"/>
          <w:sz w:val="24"/>
          <w:szCs w:val="24"/>
        </w:rPr>
        <w:t xml:space="preserve">Recently Matt won defense verdicts in four wrongful death (motor vehicle and premises liability) cases, where each plaintiff’s attorney asked the jury to award over $4 million dollars in damages. </w:t>
      </w:r>
    </w:p>
    <w:p w14:paraId="3CE5EBF3" w14:textId="7EB1BA75" w:rsidR="00D637F5" w:rsidRDefault="00D637F5" w:rsidP="00371524">
      <w:pPr>
        <w:rPr>
          <w:rFonts w:ascii="Times New Roman" w:hAnsi="Times New Roman" w:cs="Times New Roman"/>
          <w:sz w:val="24"/>
          <w:szCs w:val="24"/>
        </w:rPr>
      </w:pPr>
      <w:r>
        <w:rPr>
          <w:rFonts w:ascii="Times New Roman" w:hAnsi="Times New Roman" w:cs="Times New Roman"/>
          <w:b/>
          <w:sz w:val="24"/>
          <w:szCs w:val="24"/>
        </w:rPr>
        <w:t>Jeff Wasick</w:t>
      </w:r>
      <w:r w:rsidR="008C505B">
        <w:rPr>
          <w:rFonts w:ascii="Times New Roman" w:hAnsi="Times New Roman" w:cs="Times New Roman"/>
          <w:b/>
          <w:sz w:val="24"/>
          <w:szCs w:val="24"/>
        </w:rPr>
        <w:t xml:space="preserve"> Biography:</w:t>
      </w:r>
      <w:r w:rsidR="008C505B">
        <w:rPr>
          <w:rFonts w:ascii="Times New Roman" w:hAnsi="Times New Roman" w:cs="Times New Roman"/>
          <w:sz w:val="24"/>
          <w:szCs w:val="24"/>
        </w:rPr>
        <w:t xml:space="preserve"> </w:t>
      </w:r>
      <w:r>
        <w:rPr>
          <w:rFonts w:ascii="Times New Roman" w:hAnsi="Times New Roman" w:cs="Times New Roman"/>
          <w:sz w:val="24"/>
          <w:szCs w:val="24"/>
        </w:rPr>
        <w:t>Jeff Wasick is a</w:t>
      </w:r>
      <w:r w:rsidR="008C505B" w:rsidRPr="008C505B">
        <w:rPr>
          <w:rFonts w:ascii="Times New Roman" w:hAnsi="Times New Roman" w:cs="Times New Roman"/>
          <w:sz w:val="24"/>
          <w:szCs w:val="24"/>
        </w:rPr>
        <w:t xml:space="preserve"> </w:t>
      </w:r>
      <w:r>
        <w:rPr>
          <w:rFonts w:ascii="Times New Roman" w:hAnsi="Times New Roman" w:cs="Times New Roman"/>
          <w:sz w:val="24"/>
          <w:szCs w:val="24"/>
        </w:rPr>
        <w:t xml:space="preserve">Senior Associate </w:t>
      </w:r>
      <w:r w:rsidR="008C505B" w:rsidRPr="008C505B">
        <w:rPr>
          <w:rFonts w:ascii="Times New Roman" w:hAnsi="Times New Roman" w:cs="Times New Roman"/>
          <w:sz w:val="24"/>
          <w:szCs w:val="24"/>
        </w:rPr>
        <w:t>at Gray, Rust, St. Amand, Moffett &amp; Brieske LLP</w:t>
      </w:r>
      <w:r>
        <w:rPr>
          <w:rFonts w:ascii="Times New Roman" w:hAnsi="Times New Roman" w:cs="Times New Roman"/>
          <w:sz w:val="24"/>
          <w:szCs w:val="24"/>
        </w:rPr>
        <w:t xml:space="preserve">.  </w:t>
      </w:r>
      <w:r w:rsidR="00C805FA">
        <w:rPr>
          <w:rFonts w:ascii="Times New Roman" w:hAnsi="Times New Roman" w:cs="Times New Roman"/>
          <w:sz w:val="24"/>
          <w:szCs w:val="24"/>
        </w:rPr>
        <w:t xml:space="preserve">Jeff primarily represents private companies and their employees in personal injury and wrongful death litigation.  </w:t>
      </w:r>
      <w:r w:rsidR="00C805FA" w:rsidRPr="00C805FA">
        <w:rPr>
          <w:rFonts w:ascii="Times New Roman" w:hAnsi="Times New Roman" w:cs="Times New Roman"/>
          <w:sz w:val="24"/>
          <w:szCs w:val="24"/>
        </w:rPr>
        <w:t>He has extensive experience in defending property owners</w:t>
      </w:r>
      <w:r w:rsidR="00C805FA">
        <w:rPr>
          <w:rFonts w:ascii="Times New Roman" w:hAnsi="Times New Roman" w:cs="Times New Roman"/>
          <w:sz w:val="24"/>
          <w:szCs w:val="24"/>
        </w:rPr>
        <w:t xml:space="preserve"> and businesses</w:t>
      </w:r>
      <w:r w:rsidR="00C805FA" w:rsidRPr="00C805FA">
        <w:rPr>
          <w:rFonts w:ascii="Times New Roman" w:hAnsi="Times New Roman" w:cs="Times New Roman"/>
          <w:sz w:val="24"/>
          <w:szCs w:val="24"/>
        </w:rPr>
        <w:t xml:space="preserve"> in premises liability lawsuits, and he also defends private companies and their employees against other tort claims, including product liability claims, motor vehicle accident claims, assault/battery/false imprisonment claims, and negligent hiring and retention claims.</w:t>
      </w:r>
    </w:p>
    <w:p w14:paraId="0DA44D8C" w14:textId="77777777" w:rsidR="00371524" w:rsidRDefault="00371524" w:rsidP="00371524">
      <w:pPr>
        <w:rPr>
          <w:rFonts w:ascii="Times New Roman" w:hAnsi="Times New Roman" w:cs="Times New Roman"/>
          <w:b/>
          <w:sz w:val="24"/>
          <w:szCs w:val="24"/>
          <w:u w:val="single"/>
        </w:rPr>
      </w:pPr>
    </w:p>
    <w:p w14:paraId="733FA48F" w14:textId="77777777" w:rsidR="00371524" w:rsidRPr="00371524" w:rsidRDefault="00371524" w:rsidP="00371524">
      <w:pPr>
        <w:rPr>
          <w:rFonts w:ascii="Times New Roman" w:hAnsi="Times New Roman" w:cs="Times New Roman"/>
          <w:b/>
          <w:sz w:val="24"/>
          <w:szCs w:val="24"/>
          <w:u w:val="single"/>
        </w:rPr>
      </w:pPr>
    </w:p>
    <w:p w14:paraId="7A05D63A" w14:textId="77777777" w:rsidR="007E7127" w:rsidRDefault="007E7127">
      <w:pPr>
        <w:rPr>
          <w:rFonts w:ascii="Times New Roman" w:hAnsi="Times New Roman" w:cs="Times New Roman"/>
          <w:b/>
          <w:sz w:val="24"/>
          <w:szCs w:val="24"/>
          <w:u w:val="single"/>
        </w:rPr>
      </w:pPr>
      <w:r>
        <w:rPr>
          <w:rFonts w:ascii="Times New Roman" w:hAnsi="Times New Roman" w:cs="Times New Roman"/>
          <w:b/>
          <w:sz w:val="24"/>
          <w:szCs w:val="24"/>
          <w:u w:val="single"/>
        </w:rPr>
        <w:br w:type="page"/>
      </w:r>
    </w:p>
    <w:p w14:paraId="7BB83ACF" w14:textId="3D4ACF77" w:rsidR="009E08B9" w:rsidRPr="00371524" w:rsidRDefault="00A372FA" w:rsidP="00612583">
      <w:pPr>
        <w:jc w:val="center"/>
        <w:rPr>
          <w:rFonts w:ascii="Times New Roman" w:hAnsi="Times New Roman" w:cs="Times New Roman"/>
          <w:sz w:val="24"/>
          <w:szCs w:val="24"/>
        </w:rPr>
      </w:pPr>
      <w:r w:rsidRPr="00371524">
        <w:rPr>
          <w:rFonts w:ascii="Times New Roman" w:hAnsi="Times New Roman" w:cs="Times New Roman"/>
          <w:b/>
          <w:sz w:val="24"/>
          <w:szCs w:val="24"/>
          <w:u w:val="single"/>
        </w:rPr>
        <w:lastRenderedPageBreak/>
        <w:t>DISCOVERING THE REPTILE</w:t>
      </w:r>
    </w:p>
    <w:p w14:paraId="65B5153A" w14:textId="28931FA9" w:rsidR="002D5E47" w:rsidRPr="00371524" w:rsidRDefault="00C52741" w:rsidP="00CA7D7C">
      <w:pPr>
        <w:spacing w:line="480" w:lineRule="auto"/>
        <w:ind w:firstLine="720"/>
        <w:rPr>
          <w:rFonts w:ascii="Times New Roman" w:hAnsi="Times New Roman" w:cs="Times New Roman"/>
          <w:sz w:val="24"/>
          <w:szCs w:val="24"/>
        </w:rPr>
      </w:pPr>
      <w:r w:rsidRPr="00371524">
        <w:rPr>
          <w:rFonts w:ascii="Times New Roman" w:hAnsi="Times New Roman" w:cs="Times New Roman"/>
          <w:b/>
          <w:sz w:val="24"/>
          <w:szCs w:val="24"/>
        </w:rPr>
        <w:t xml:space="preserve">WARNING: </w:t>
      </w:r>
      <w:r w:rsidRPr="00371524">
        <w:rPr>
          <w:rFonts w:ascii="Times New Roman" w:hAnsi="Times New Roman" w:cs="Times New Roman"/>
          <w:sz w:val="24"/>
          <w:szCs w:val="24"/>
        </w:rPr>
        <w:t>The Reptile strategy and techniques are being effectively used by more of the Plaintiff's Bar across the country. T</w:t>
      </w:r>
      <w:r w:rsidR="00DA5AEF" w:rsidRPr="00371524">
        <w:rPr>
          <w:rFonts w:ascii="Times New Roman" w:hAnsi="Times New Roman" w:cs="Times New Roman"/>
          <w:sz w:val="24"/>
          <w:szCs w:val="24"/>
        </w:rPr>
        <w:t>he Defense Bar, C</w:t>
      </w:r>
      <w:r w:rsidRPr="00371524">
        <w:rPr>
          <w:rFonts w:ascii="Times New Roman" w:hAnsi="Times New Roman" w:cs="Times New Roman"/>
          <w:sz w:val="24"/>
          <w:szCs w:val="24"/>
        </w:rPr>
        <w:t xml:space="preserve">orporate America, and the insurance industry must </w:t>
      </w:r>
      <w:r w:rsidR="00DA5AEF" w:rsidRPr="00371524">
        <w:rPr>
          <w:rFonts w:ascii="Times New Roman" w:hAnsi="Times New Roman" w:cs="Times New Roman"/>
          <w:sz w:val="24"/>
          <w:szCs w:val="24"/>
        </w:rPr>
        <w:t>recognize that the “Reptile” strategy is designed to produce nuclear-sized verdicts. Acc</w:t>
      </w:r>
      <w:r w:rsidR="004B7D4A" w:rsidRPr="00371524">
        <w:rPr>
          <w:rFonts w:ascii="Times New Roman" w:hAnsi="Times New Roman" w:cs="Times New Roman"/>
          <w:sz w:val="24"/>
          <w:szCs w:val="24"/>
        </w:rPr>
        <w:t xml:space="preserve">ording to the Reptile website, </w:t>
      </w:r>
      <w:r w:rsidR="00EF3ED5" w:rsidRPr="00371524">
        <w:rPr>
          <w:rFonts w:ascii="Times New Roman" w:hAnsi="Times New Roman" w:cs="Times New Roman"/>
          <w:sz w:val="24"/>
          <w:szCs w:val="24"/>
        </w:rPr>
        <w:t xml:space="preserve">the “results produced through the skilled practice of Reptile methods </w:t>
      </w:r>
      <w:r w:rsidR="00F37419" w:rsidRPr="00371524">
        <w:rPr>
          <w:rFonts w:ascii="Times New Roman" w:hAnsi="Times New Roman" w:cs="Times New Roman"/>
          <w:sz w:val="24"/>
          <w:szCs w:val="24"/>
        </w:rPr>
        <w:t xml:space="preserve">are nothing short of revolutionary. With each year that passes, </w:t>
      </w:r>
      <w:r w:rsidR="00697EFC" w:rsidRPr="00371524">
        <w:rPr>
          <w:rFonts w:ascii="Times New Roman" w:hAnsi="Times New Roman" w:cs="Times New Roman"/>
          <w:sz w:val="24"/>
          <w:szCs w:val="24"/>
        </w:rPr>
        <w:t xml:space="preserve">more Plaintiff attorneys are learning Reptile and adopting it into their practices.” </w:t>
      </w:r>
      <w:r w:rsidR="00E82D74" w:rsidRPr="00371524">
        <w:rPr>
          <w:rFonts w:ascii="Times New Roman" w:hAnsi="Times New Roman" w:cs="Times New Roman"/>
          <w:sz w:val="24"/>
          <w:szCs w:val="24"/>
        </w:rPr>
        <w:t xml:space="preserve">As of </w:t>
      </w:r>
      <w:r w:rsidR="00ED0274">
        <w:rPr>
          <w:rFonts w:ascii="Times New Roman" w:hAnsi="Times New Roman" w:cs="Times New Roman"/>
          <w:sz w:val="24"/>
          <w:szCs w:val="24"/>
        </w:rPr>
        <w:t>February 28, 2018</w:t>
      </w:r>
      <w:r w:rsidR="00E82D74" w:rsidRPr="00371524">
        <w:rPr>
          <w:rFonts w:ascii="Times New Roman" w:hAnsi="Times New Roman" w:cs="Times New Roman"/>
          <w:sz w:val="24"/>
          <w:szCs w:val="24"/>
        </w:rPr>
        <w:t>, there have been “</w:t>
      </w:r>
      <w:r w:rsidR="00ED0274">
        <w:rPr>
          <w:rFonts w:ascii="Times New Roman" w:hAnsi="Times New Roman" w:cs="Times New Roman"/>
          <w:sz w:val="24"/>
          <w:szCs w:val="24"/>
        </w:rPr>
        <w:t>8</w:t>
      </w:r>
      <w:r w:rsidR="00E82D74" w:rsidRPr="00371524">
        <w:rPr>
          <w:rFonts w:ascii="Times New Roman" w:hAnsi="Times New Roman" w:cs="Times New Roman"/>
          <w:sz w:val="24"/>
          <w:szCs w:val="24"/>
        </w:rPr>
        <w:t xml:space="preserve"> billion dollars in Reptile verdicts and </w:t>
      </w:r>
      <w:r w:rsidR="00ED0274">
        <w:rPr>
          <w:rFonts w:ascii="Times New Roman" w:hAnsi="Times New Roman" w:cs="Times New Roman"/>
          <w:sz w:val="24"/>
          <w:szCs w:val="24"/>
        </w:rPr>
        <w:t>34</w:t>
      </w:r>
      <w:r w:rsidR="00E82D74" w:rsidRPr="00371524">
        <w:rPr>
          <w:rFonts w:ascii="Times New Roman" w:hAnsi="Times New Roman" w:cs="Times New Roman"/>
          <w:sz w:val="24"/>
          <w:szCs w:val="24"/>
        </w:rPr>
        <w:t xml:space="preserve"> million dollars in verdicts were reported last week.” </w:t>
      </w:r>
      <w:hyperlink r:id="rId9" w:history="1">
        <w:r w:rsidR="00270C52" w:rsidRPr="00371524">
          <w:rPr>
            <w:rStyle w:val="Hyperlink"/>
            <w:rFonts w:ascii="Times New Roman" w:hAnsi="Times New Roman" w:cs="Times New Roman"/>
            <w:sz w:val="24"/>
            <w:szCs w:val="24"/>
          </w:rPr>
          <w:t>http://www.reptileverdicts.com/</w:t>
        </w:r>
      </w:hyperlink>
      <w:r w:rsidR="00A20989" w:rsidRPr="00371524">
        <w:rPr>
          <w:rFonts w:ascii="Times New Roman" w:hAnsi="Times New Roman" w:cs="Times New Roman"/>
          <w:sz w:val="24"/>
          <w:szCs w:val="24"/>
        </w:rPr>
        <w:t>.</w:t>
      </w:r>
      <w:r w:rsidR="00ED0274">
        <w:rPr>
          <w:rStyle w:val="FootnoteReference"/>
          <w:rFonts w:ascii="Times New Roman" w:hAnsi="Times New Roman" w:cs="Times New Roman"/>
          <w:sz w:val="24"/>
          <w:szCs w:val="24"/>
        </w:rPr>
        <w:footnoteReference w:id="1"/>
      </w:r>
      <w:r w:rsidR="00270C52" w:rsidRPr="00371524">
        <w:rPr>
          <w:rFonts w:ascii="Times New Roman" w:hAnsi="Times New Roman" w:cs="Times New Roman"/>
          <w:sz w:val="24"/>
          <w:szCs w:val="24"/>
        </w:rPr>
        <w:t xml:space="preserve"> </w:t>
      </w:r>
      <w:r w:rsidR="00ED0274">
        <w:rPr>
          <w:rFonts w:ascii="Times New Roman" w:hAnsi="Times New Roman" w:cs="Times New Roman"/>
          <w:sz w:val="24"/>
          <w:szCs w:val="24"/>
        </w:rPr>
        <w:t xml:space="preserve"> </w:t>
      </w:r>
      <w:r w:rsidR="002D5E47" w:rsidRPr="00371524">
        <w:rPr>
          <w:rFonts w:ascii="Times New Roman" w:hAnsi="Times New Roman" w:cs="Times New Roman"/>
          <w:sz w:val="24"/>
          <w:szCs w:val="24"/>
        </w:rPr>
        <w:t xml:space="preserve">This paper will discuss ways to combat Reptile tactics during the pleading and discovery stage of litigation. </w:t>
      </w:r>
    </w:p>
    <w:p w14:paraId="6EFC3FFD" w14:textId="553376C4" w:rsidR="0038566D" w:rsidRPr="00371524" w:rsidRDefault="004C3F7D" w:rsidP="0038566D">
      <w:pPr>
        <w:pStyle w:val="ListParagraph"/>
        <w:numPr>
          <w:ilvl w:val="0"/>
          <w:numId w:val="2"/>
        </w:numPr>
        <w:spacing w:line="480" w:lineRule="auto"/>
        <w:rPr>
          <w:rFonts w:ascii="Times New Roman" w:hAnsi="Times New Roman" w:cs="Times New Roman"/>
          <w:b/>
          <w:sz w:val="24"/>
          <w:szCs w:val="24"/>
        </w:rPr>
      </w:pPr>
      <w:r w:rsidRPr="00371524">
        <w:rPr>
          <w:rFonts w:ascii="Times New Roman" w:hAnsi="Times New Roman" w:cs="Times New Roman"/>
          <w:b/>
          <w:sz w:val="24"/>
          <w:szCs w:val="24"/>
        </w:rPr>
        <w:t>The</w:t>
      </w:r>
      <w:r w:rsidR="008242FF" w:rsidRPr="00371524">
        <w:rPr>
          <w:rFonts w:ascii="Times New Roman" w:hAnsi="Times New Roman" w:cs="Times New Roman"/>
          <w:b/>
          <w:sz w:val="24"/>
          <w:szCs w:val="24"/>
        </w:rPr>
        <w:t xml:space="preserve"> Reptile plaintiff </w:t>
      </w:r>
      <w:r w:rsidR="00E96BBA" w:rsidRPr="00371524">
        <w:rPr>
          <w:rFonts w:ascii="Times New Roman" w:hAnsi="Times New Roman" w:cs="Times New Roman"/>
          <w:b/>
          <w:sz w:val="24"/>
          <w:szCs w:val="24"/>
        </w:rPr>
        <w:t xml:space="preserve">attorney wants to show </w:t>
      </w:r>
      <w:r w:rsidR="008242FF" w:rsidRPr="00371524">
        <w:rPr>
          <w:rFonts w:ascii="Times New Roman" w:hAnsi="Times New Roman" w:cs="Times New Roman"/>
          <w:b/>
          <w:sz w:val="24"/>
          <w:szCs w:val="24"/>
        </w:rPr>
        <w:t xml:space="preserve">that your </w:t>
      </w:r>
      <w:r w:rsidR="00A063D1">
        <w:rPr>
          <w:rFonts w:ascii="Times New Roman" w:hAnsi="Times New Roman" w:cs="Times New Roman"/>
          <w:b/>
          <w:sz w:val="24"/>
          <w:szCs w:val="24"/>
        </w:rPr>
        <w:t xml:space="preserve">client endangers the community by breaking safety rules. </w:t>
      </w:r>
    </w:p>
    <w:p w14:paraId="706D2695" w14:textId="414A5F50" w:rsidR="007D4A67" w:rsidRPr="00371524" w:rsidRDefault="00B54011" w:rsidP="007D4A67">
      <w:pPr>
        <w:spacing w:after="0" w:line="480" w:lineRule="auto"/>
        <w:ind w:firstLine="720"/>
        <w:rPr>
          <w:rFonts w:ascii="Times New Roman" w:hAnsi="Times New Roman" w:cs="Times New Roman"/>
          <w:sz w:val="24"/>
          <w:szCs w:val="24"/>
        </w:rPr>
      </w:pPr>
      <w:r w:rsidRPr="00371524">
        <w:rPr>
          <w:rFonts w:ascii="Times New Roman" w:hAnsi="Times New Roman" w:cs="Times New Roman"/>
          <w:sz w:val="24"/>
          <w:szCs w:val="24"/>
        </w:rPr>
        <w:t xml:space="preserve">In 2009, David Ball and Don C. Keenan co-authored </w:t>
      </w:r>
      <w:r w:rsidRPr="00371524">
        <w:rPr>
          <w:rFonts w:ascii="Times New Roman" w:hAnsi="Times New Roman" w:cs="Times New Roman"/>
          <w:i/>
          <w:sz w:val="24"/>
          <w:szCs w:val="24"/>
        </w:rPr>
        <w:t>Reptile: The 2009 Manual of the Plaintiff’s Revolution</w:t>
      </w:r>
      <w:r w:rsidRPr="00371524">
        <w:rPr>
          <w:rFonts w:ascii="Times New Roman" w:hAnsi="Times New Roman" w:cs="Times New Roman"/>
          <w:sz w:val="24"/>
          <w:szCs w:val="24"/>
        </w:rPr>
        <w:t>. This book is based on a concept by neuroscientist Paul MacLean that people are driven by the reptili</w:t>
      </w:r>
      <w:r w:rsidR="00FA63E7" w:rsidRPr="00371524">
        <w:rPr>
          <w:rFonts w:ascii="Times New Roman" w:hAnsi="Times New Roman" w:cs="Times New Roman"/>
          <w:sz w:val="24"/>
          <w:szCs w:val="24"/>
        </w:rPr>
        <w:t xml:space="preserve">an portion of their brains. </w:t>
      </w:r>
      <w:r w:rsidR="00732029" w:rsidRPr="00371524">
        <w:rPr>
          <w:rFonts w:ascii="Times New Roman" w:hAnsi="Times New Roman" w:cs="Times New Roman"/>
          <w:sz w:val="24"/>
          <w:szCs w:val="24"/>
        </w:rPr>
        <w:t xml:space="preserve">David Ball and Don C. Keenan, </w:t>
      </w:r>
      <w:r w:rsidR="00732029" w:rsidRPr="00371524">
        <w:rPr>
          <w:rFonts w:ascii="Times New Roman" w:hAnsi="Times New Roman" w:cs="Times New Roman"/>
          <w:i/>
          <w:sz w:val="24"/>
          <w:szCs w:val="24"/>
        </w:rPr>
        <w:t>Reptile: The 2009 Manual of the Plaintiff’s Revolution</w:t>
      </w:r>
      <w:r w:rsidR="00732029" w:rsidRPr="00371524">
        <w:rPr>
          <w:rFonts w:ascii="Times New Roman" w:hAnsi="Times New Roman" w:cs="Times New Roman"/>
          <w:sz w:val="24"/>
          <w:szCs w:val="24"/>
        </w:rPr>
        <w:t xml:space="preserve">, 13 (1st ed. 2009). </w:t>
      </w:r>
      <w:r w:rsidRPr="00371524">
        <w:rPr>
          <w:rFonts w:ascii="Times New Roman" w:hAnsi="Times New Roman" w:cs="Times New Roman"/>
          <w:sz w:val="24"/>
          <w:szCs w:val="24"/>
        </w:rPr>
        <w:t>Dr. MacLean labele</w:t>
      </w:r>
      <w:r w:rsidR="00957833" w:rsidRPr="00371524">
        <w:rPr>
          <w:rFonts w:ascii="Times New Roman" w:hAnsi="Times New Roman" w:cs="Times New Roman"/>
          <w:sz w:val="24"/>
          <w:szCs w:val="24"/>
        </w:rPr>
        <w:t>d this part of the brain the “</w:t>
      </w:r>
      <w:r w:rsidR="005D02EA" w:rsidRPr="00371524">
        <w:rPr>
          <w:rFonts w:ascii="Times New Roman" w:hAnsi="Times New Roman" w:cs="Times New Roman"/>
          <w:sz w:val="24"/>
          <w:szCs w:val="24"/>
        </w:rPr>
        <w:t xml:space="preserve">R </w:t>
      </w:r>
      <w:r w:rsidRPr="00371524">
        <w:rPr>
          <w:rFonts w:ascii="Times New Roman" w:hAnsi="Times New Roman" w:cs="Times New Roman"/>
          <w:sz w:val="24"/>
          <w:szCs w:val="24"/>
        </w:rPr>
        <w:t xml:space="preserve">complex” or “reptilian brain” because it is identical in function to the brain of reptiles. </w:t>
      </w:r>
      <w:r w:rsidR="00C8472D" w:rsidRPr="00371524">
        <w:rPr>
          <w:rFonts w:ascii="Times New Roman" w:hAnsi="Times New Roman" w:cs="Times New Roman"/>
          <w:sz w:val="24"/>
          <w:szCs w:val="24"/>
        </w:rPr>
        <w:t xml:space="preserve">This reptilian part of the brain is the “oldest part of the brain.” </w:t>
      </w:r>
      <w:r w:rsidR="0038366C" w:rsidRPr="00371524">
        <w:rPr>
          <w:rFonts w:ascii="Times New Roman" w:hAnsi="Times New Roman" w:cs="Times New Roman"/>
          <w:i/>
          <w:sz w:val="24"/>
          <w:szCs w:val="24"/>
        </w:rPr>
        <w:t>Id.</w:t>
      </w:r>
      <w:r w:rsidR="00C8472D" w:rsidRPr="00371524">
        <w:rPr>
          <w:rFonts w:ascii="Times New Roman" w:hAnsi="Times New Roman" w:cs="Times New Roman"/>
          <w:sz w:val="24"/>
          <w:szCs w:val="24"/>
        </w:rPr>
        <w:t xml:space="preserve"> “Over millions of years of evolution, the R-Complex gave rise to the rest of the brain: the parts that think and feel.” </w:t>
      </w:r>
      <w:r w:rsidR="0038366C" w:rsidRPr="00371524">
        <w:rPr>
          <w:rFonts w:ascii="Times New Roman" w:hAnsi="Times New Roman" w:cs="Times New Roman"/>
          <w:i/>
          <w:sz w:val="24"/>
          <w:szCs w:val="24"/>
        </w:rPr>
        <w:t xml:space="preserve">Id. </w:t>
      </w:r>
      <w:r w:rsidR="00B92426" w:rsidRPr="00371524">
        <w:rPr>
          <w:rFonts w:ascii="Times New Roman" w:hAnsi="Times New Roman" w:cs="Times New Roman"/>
          <w:sz w:val="24"/>
          <w:szCs w:val="24"/>
        </w:rPr>
        <w:t>“The Reptilian brain houses basic life functions, such as breathing, balance, hunger, the sex drive, and the fundamen</w:t>
      </w:r>
      <w:r w:rsidR="0038366C" w:rsidRPr="00371524">
        <w:rPr>
          <w:rFonts w:ascii="Times New Roman" w:hAnsi="Times New Roman" w:cs="Times New Roman"/>
          <w:sz w:val="24"/>
          <w:szCs w:val="24"/>
        </w:rPr>
        <w:t xml:space="preserve">tal life force: survival.” </w:t>
      </w:r>
      <w:r w:rsidR="0038366C" w:rsidRPr="00371524">
        <w:rPr>
          <w:rFonts w:ascii="Times New Roman" w:hAnsi="Times New Roman" w:cs="Times New Roman"/>
          <w:i/>
          <w:sz w:val="24"/>
          <w:szCs w:val="24"/>
        </w:rPr>
        <w:t xml:space="preserve">Id. </w:t>
      </w:r>
      <w:r w:rsidR="0038366C" w:rsidRPr="00371524">
        <w:rPr>
          <w:rFonts w:ascii="Times New Roman" w:hAnsi="Times New Roman" w:cs="Times New Roman"/>
          <w:sz w:val="24"/>
          <w:szCs w:val="24"/>
        </w:rPr>
        <w:t>at 17</w:t>
      </w:r>
      <w:r w:rsidR="00B92426" w:rsidRPr="00371524">
        <w:rPr>
          <w:rFonts w:ascii="Times New Roman" w:hAnsi="Times New Roman" w:cs="Times New Roman"/>
          <w:sz w:val="24"/>
          <w:szCs w:val="24"/>
        </w:rPr>
        <w:t xml:space="preserve">. </w:t>
      </w:r>
      <w:r w:rsidR="007D4A67" w:rsidRPr="00371524">
        <w:rPr>
          <w:rFonts w:ascii="Times New Roman" w:hAnsi="Times New Roman" w:cs="Times New Roman"/>
          <w:sz w:val="24"/>
          <w:szCs w:val="24"/>
        </w:rPr>
        <w:t>According to the authors, “the Reptile invented and built the rest of the brain,</w:t>
      </w:r>
      <w:r w:rsidR="00304A83" w:rsidRPr="00371524">
        <w:rPr>
          <w:rFonts w:ascii="Times New Roman" w:hAnsi="Times New Roman" w:cs="Times New Roman"/>
          <w:sz w:val="24"/>
          <w:szCs w:val="24"/>
        </w:rPr>
        <w:t xml:space="preserve"> and now she runs it.” </w:t>
      </w:r>
      <w:r w:rsidR="00304A83" w:rsidRPr="00371524">
        <w:rPr>
          <w:rFonts w:ascii="Times New Roman" w:hAnsi="Times New Roman" w:cs="Times New Roman"/>
          <w:i/>
          <w:sz w:val="24"/>
          <w:szCs w:val="24"/>
        </w:rPr>
        <w:t>Id.</w:t>
      </w:r>
      <w:r w:rsidR="007D4A67" w:rsidRPr="00371524">
        <w:rPr>
          <w:rFonts w:ascii="Times New Roman" w:hAnsi="Times New Roman" w:cs="Times New Roman"/>
          <w:sz w:val="24"/>
          <w:szCs w:val="24"/>
        </w:rPr>
        <w:t xml:space="preserve"> </w:t>
      </w:r>
      <w:r w:rsidR="00B92426" w:rsidRPr="00371524">
        <w:rPr>
          <w:rFonts w:ascii="Times New Roman" w:hAnsi="Times New Roman" w:cs="Times New Roman"/>
          <w:sz w:val="24"/>
          <w:szCs w:val="24"/>
        </w:rPr>
        <w:t>The</w:t>
      </w:r>
      <w:r w:rsidR="00F37A7F" w:rsidRPr="00371524">
        <w:rPr>
          <w:rFonts w:ascii="Times New Roman" w:hAnsi="Times New Roman" w:cs="Times New Roman"/>
          <w:sz w:val="24"/>
          <w:szCs w:val="24"/>
        </w:rPr>
        <w:t xml:space="preserve"> authors contend that the</w:t>
      </w:r>
      <w:r w:rsidR="00B92426" w:rsidRPr="00371524">
        <w:rPr>
          <w:rFonts w:ascii="Times New Roman" w:hAnsi="Times New Roman" w:cs="Times New Roman"/>
          <w:sz w:val="24"/>
          <w:szCs w:val="24"/>
        </w:rPr>
        <w:t xml:space="preserve"> </w:t>
      </w:r>
      <w:r w:rsidR="00B92426" w:rsidRPr="00371524">
        <w:rPr>
          <w:rFonts w:ascii="Times New Roman" w:hAnsi="Times New Roman" w:cs="Times New Roman"/>
          <w:sz w:val="24"/>
          <w:szCs w:val="24"/>
        </w:rPr>
        <w:lastRenderedPageBreak/>
        <w:t xml:space="preserve">Reptile’s primary function in the human brain is self-preservation. </w:t>
      </w:r>
      <w:r w:rsidR="00536E73" w:rsidRPr="00371524">
        <w:rPr>
          <w:rFonts w:ascii="Times New Roman" w:hAnsi="Times New Roman" w:cs="Times New Roman"/>
          <w:sz w:val="24"/>
          <w:szCs w:val="24"/>
        </w:rPr>
        <w:t xml:space="preserve">The purpose of the Reptile book is to teach plaintiff attorneys how to awaken the reptilian part of the jurors’ brains. </w:t>
      </w:r>
    </w:p>
    <w:p w14:paraId="49287A22" w14:textId="43D0B441" w:rsidR="00CF67AE" w:rsidRPr="00371524" w:rsidRDefault="00016FF7" w:rsidP="00B54011">
      <w:pPr>
        <w:spacing w:after="0" w:line="480" w:lineRule="auto"/>
        <w:ind w:firstLine="720"/>
        <w:rPr>
          <w:rFonts w:ascii="Times New Roman" w:hAnsi="Times New Roman" w:cs="Times New Roman"/>
          <w:sz w:val="24"/>
          <w:szCs w:val="24"/>
        </w:rPr>
      </w:pPr>
      <w:r w:rsidRPr="00371524">
        <w:rPr>
          <w:rFonts w:ascii="Times New Roman" w:hAnsi="Times New Roman" w:cs="Times New Roman"/>
          <w:sz w:val="24"/>
          <w:szCs w:val="24"/>
        </w:rPr>
        <w:t xml:space="preserve">The Reptile strategy boils down to a simple formula: </w:t>
      </w:r>
      <w:r w:rsidRPr="00371524">
        <w:rPr>
          <w:rFonts w:ascii="Times New Roman" w:hAnsi="Times New Roman" w:cs="Times New Roman"/>
          <w:b/>
          <w:sz w:val="24"/>
          <w:szCs w:val="24"/>
        </w:rPr>
        <w:t>Safety Rule + Danger = Reptile.</w:t>
      </w:r>
      <w:r w:rsidRPr="00371524">
        <w:rPr>
          <w:rFonts w:ascii="Times New Roman" w:hAnsi="Times New Roman" w:cs="Times New Roman"/>
          <w:sz w:val="24"/>
          <w:szCs w:val="24"/>
        </w:rPr>
        <w:t xml:space="preserve"> </w:t>
      </w:r>
      <w:r w:rsidR="007A0C8E" w:rsidRPr="00371524">
        <w:rPr>
          <w:rFonts w:ascii="Times New Roman" w:hAnsi="Times New Roman" w:cs="Times New Roman"/>
          <w:sz w:val="24"/>
          <w:szCs w:val="24"/>
        </w:rPr>
        <w:t>T</w:t>
      </w:r>
      <w:r w:rsidR="0060117E" w:rsidRPr="00371524">
        <w:rPr>
          <w:rFonts w:ascii="Times New Roman" w:hAnsi="Times New Roman" w:cs="Times New Roman"/>
          <w:sz w:val="24"/>
          <w:szCs w:val="24"/>
        </w:rPr>
        <w:t xml:space="preserve">he authors warn plaintiff attorneys </w:t>
      </w:r>
      <w:r w:rsidR="00B54011" w:rsidRPr="00371524">
        <w:rPr>
          <w:rFonts w:ascii="Times New Roman" w:hAnsi="Times New Roman" w:cs="Times New Roman"/>
          <w:sz w:val="24"/>
          <w:szCs w:val="24"/>
        </w:rPr>
        <w:t>to “never refer to Defendant conduct as accidental, a mistake, a misjudgment, or inadvertent. Be strict about this with yoursel</w:t>
      </w:r>
      <w:r w:rsidR="00CE31A7" w:rsidRPr="00371524">
        <w:rPr>
          <w:rFonts w:ascii="Times New Roman" w:hAnsi="Times New Roman" w:cs="Times New Roman"/>
          <w:sz w:val="24"/>
          <w:szCs w:val="24"/>
        </w:rPr>
        <w:t xml:space="preserve">f and your witnesses.” </w:t>
      </w:r>
      <w:r w:rsidR="00CE31A7" w:rsidRPr="00371524">
        <w:rPr>
          <w:rFonts w:ascii="Times New Roman" w:hAnsi="Times New Roman" w:cs="Times New Roman"/>
          <w:i/>
          <w:sz w:val="24"/>
          <w:szCs w:val="24"/>
        </w:rPr>
        <w:t>Id.</w:t>
      </w:r>
      <w:r w:rsidR="00CE31A7" w:rsidRPr="00371524">
        <w:rPr>
          <w:rFonts w:ascii="Times New Roman" w:hAnsi="Times New Roman" w:cs="Times New Roman"/>
          <w:sz w:val="24"/>
          <w:szCs w:val="24"/>
        </w:rPr>
        <w:t xml:space="preserve"> at 53.</w:t>
      </w:r>
      <w:r w:rsidR="00B54011" w:rsidRPr="00371524">
        <w:rPr>
          <w:rFonts w:ascii="Times New Roman" w:hAnsi="Times New Roman" w:cs="Times New Roman"/>
          <w:sz w:val="24"/>
          <w:szCs w:val="24"/>
        </w:rPr>
        <w:t xml:space="preserve"> Why? Because “no one can prevent inadvertence” so “th</w:t>
      </w:r>
      <w:r w:rsidR="00CE31A7" w:rsidRPr="00371524">
        <w:rPr>
          <w:rFonts w:ascii="Times New Roman" w:hAnsi="Times New Roman" w:cs="Times New Roman"/>
          <w:sz w:val="24"/>
          <w:szCs w:val="24"/>
        </w:rPr>
        <w:t xml:space="preserve">e Reptile ignores it.” </w:t>
      </w:r>
      <w:r w:rsidR="00CE31A7" w:rsidRPr="00371524">
        <w:rPr>
          <w:rFonts w:ascii="Times New Roman" w:hAnsi="Times New Roman" w:cs="Times New Roman"/>
          <w:i/>
          <w:sz w:val="24"/>
          <w:szCs w:val="24"/>
        </w:rPr>
        <w:t>Id.</w:t>
      </w:r>
      <w:r w:rsidR="00E162CE" w:rsidRPr="00371524">
        <w:rPr>
          <w:rFonts w:ascii="Times New Roman" w:hAnsi="Times New Roman" w:cs="Times New Roman"/>
          <w:sz w:val="24"/>
          <w:szCs w:val="24"/>
        </w:rPr>
        <w:t xml:space="preserve"> A “car crash might have been ‘accidental,’ but it happened because someone chose to violate a safety rule – such as ‘A driver has to watch where he’s going and see what’s there to be seen.’”</w:t>
      </w:r>
      <w:r w:rsidR="008A64BB" w:rsidRPr="00371524">
        <w:rPr>
          <w:rStyle w:val="FootnoteReference"/>
          <w:rFonts w:ascii="Times New Roman" w:hAnsi="Times New Roman" w:cs="Times New Roman"/>
          <w:sz w:val="24"/>
          <w:szCs w:val="24"/>
        </w:rPr>
        <w:footnoteReference w:id="2"/>
      </w:r>
      <w:r w:rsidR="00023B97" w:rsidRPr="00371524">
        <w:rPr>
          <w:rFonts w:ascii="Times New Roman" w:hAnsi="Times New Roman" w:cs="Times New Roman"/>
          <w:sz w:val="24"/>
          <w:szCs w:val="24"/>
        </w:rPr>
        <w:t xml:space="preserve"> </w:t>
      </w:r>
      <w:r w:rsidR="00023B97" w:rsidRPr="00371524">
        <w:rPr>
          <w:rFonts w:ascii="Times New Roman" w:hAnsi="Times New Roman" w:cs="Times New Roman"/>
          <w:i/>
          <w:sz w:val="24"/>
          <w:szCs w:val="24"/>
        </w:rPr>
        <w:t>Id.</w:t>
      </w:r>
      <w:r w:rsidR="003A21AC" w:rsidRPr="00371524">
        <w:rPr>
          <w:rFonts w:ascii="Times New Roman" w:hAnsi="Times New Roman" w:cs="Times New Roman"/>
          <w:sz w:val="24"/>
          <w:szCs w:val="24"/>
        </w:rPr>
        <w:t xml:space="preserve"> at 54.</w:t>
      </w:r>
      <w:r w:rsidR="00E162CE" w:rsidRPr="00371524">
        <w:rPr>
          <w:rFonts w:ascii="Times New Roman" w:hAnsi="Times New Roman" w:cs="Times New Roman"/>
          <w:sz w:val="24"/>
          <w:szCs w:val="24"/>
        </w:rPr>
        <w:t xml:space="preserve"> As applied to trucking cases, the authors say that the following rule is a “loser”: “The trucker missed the light.” But a “winner” is the following safety rule: “The trucker violated the public-safety rule to watch where he was going</w:t>
      </w:r>
      <w:r w:rsidR="003A21AC" w:rsidRPr="00371524">
        <w:rPr>
          <w:rFonts w:ascii="Times New Roman" w:hAnsi="Times New Roman" w:cs="Times New Roman"/>
          <w:sz w:val="24"/>
          <w:szCs w:val="24"/>
        </w:rPr>
        <w:t xml:space="preserve">.” </w:t>
      </w:r>
      <w:r w:rsidR="003A21AC" w:rsidRPr="00371524">
        <w:rPr>
          <w:rFonts w:ascii="Times New Roman" w:hAnsi="Times New Roman" w:cs="Times New Roman"/>
          <w:i/>
          <w:sz w:val="24"/>
          <w:szCs w:val="24"/>
        </w:rPr>
        <w:t>Id.</w:t>
      </w:r>
    </w:p>
    <w:p w14:paraId="0B78F844" w14:textId="77777777" w:rsidR="0096528D" w:rsidRDefault="0024300A" w:rsidP="00B617D7">
      <w:pPr>
        <w:spacing w:after="0" w:line="480" w:lineRule="auto"/>
        <w:ind w:firstLine="720"/>
        <w:rPr>
          <w:rFonts w:ascii="Times New Roman" w:hAnsi="Times New Roman" w:cs="Times New Roman"/>
          <w:sz w:val="24"/>
          <w:szCs w:val="24"/>
        </w:rPr>
      </w:pPr>
      <w:r w:rsidRPr="00371524">
        <w:rPr>
          <w:rFonts w:ascii="Times New Roman" w:hAnsi="Times New Roman" w:cs="Times New Roman"/>
          <w:sz w:val="24"/>
          <w:szCs w:val="24"/>
        </w:rPr>
        <w:t xml:space="preserve">The authors recommend a three-step process to awaken the </w:t>
      </w:r>
      <w:r w:rsidR="00CC44EE" w:rsidRPr="00371524">
        <w:rPr>
          <w:rFonts w:ascii="Times New Roman" w:hAnsi="Times New Roman" w:cs="Times New Roman"/>
          <w:sz w:val="24"/>
          <w:szCs w:val="24"/>
        </w:rPr>
        <w:t xml:space="preserve">jurors’ </w:t>
      </w:r>
      <w:r w:rsidRPr="00371524">
        <w:rPr>
          <w:rFonts w:ascii="Times New Roman" w:hAnsi="Times New Roman" w:cs="Times New Roman"/>
          <w:sz w:val="24"/>
          <w:szCs w:val="24"/>
        </w:rPr>
        <w:t>collective r</w:t>
      </w:r>
      <w:r w:rsidR="00CC44EE" w:rsidRPr="00371524">
        <w:rPr>
          <w:rFonts w:ascii="Times New Roman" w:hAnsi="Times New Roman" w:cs="Times New Roman"/>
          <w:sz w:val="24"/>
          <w:szCs w:val="24"/>
        </w:rPr>
        <w:t>eptilian brain</w:t>
      </w:r>
      <w:r w:rsidRPr="00371524">
        <w:rPr>
          <w:rFonts w:ascii="Times New Roman" w:hAnsi="Times New Roman" w:cs="Times New Roman"/>
          <w:sz w:val="24"/>
          <w:szCs w:val="24"/>
        </w:rPr>
        <w:t xml:space="preserve">. First, take a specific safety rule and widen its scope so that it becomes an “umbrella rule.” </w:t>
      </w:r>
      <w:r w:rsidR="00732067" w:rsidRPr="00371524">
        <w:rPr>
          <w:rFonts w:ascii="Times New Roman" w:hAnsi="Times New Roman" w:cs="Times New Roman"/>
          <w:i/>
          <w:sz w:val="24"/>
          <w:szCs w:val="24"/>
        </w:rPr>
        <w:t xml:space="preserve">Id. </w:t>
      </w:r>
      <w:r w:rsidR="00732067" w:rsidRPr="00371524">
        <w:rPr>
          <w:rFonts w:ascii="Times New Roman" w:hAnsi="Times New Roman" w:cs="Times New Roman"/>
          <w:sz w:val="24"/>
          <w:szCs w:val="24"/>
        </w:rPr>
        <w:t>at 51</w:t>
      </w:r>
      <w:r w:rsidR="00F56C75" w:rsidRPr="00371524">
        <w:rPr>
          <w:rFonts w:ascii="Times New Roman" w:hAnsi="Times New Roman" w:cs="Times New Roman"/>
          <w:sz w:val="24"/>
          <w:szCs w:val="24"/>
        </w:rPr>
        <w:t xml:space="preserve">. </w:t>
      </w:r>
      <w:r w:rsidR="00016FF7" w:rsidRPr="00371524">
        <w:rPr>
          <w:rFonts w:ascii="Times New Roman" w:hAnsi="Times New Roman" w:cs="Times New Roman"/>
          <w:sz w:val="24"/>
          <w:szCs w:val="24"/>
        </w:rPr>
        <w:t>The authors give an example of a coal mining company. A safety rule for a coal mining company would be the following: “A coal mining company is not allowed to turn off the lights whil</w:t>
      </w:r>
      <w:r w:rsidR="00732067" w:rsidRPr="00371524">
        <w:rPr>
          <w:rFonts w:ascii="Times New Roman" w:hAnsi="Times New Roman" w:cs="Times New Roman"/>
          <w:sz w:val="24"/>
          <w:szCs w:val="24"/>
        </w:rPr>
        <w:t xml:space="preserve">e workers are in the mine.” </w:t>
      </w:r>
      <w:r w:rsidR="00732067" w:rsidRPr="00371524">
        <w:rPr>
          <w:rFonts w:ascii="Times New Roman" w:hAnsi="Times New Roman" w:cs="Times New Roman"/>
          <w:i/>
          <w:sz w:val="24"/>
          <w:szCs w:val="24"/>
        </w:rPr>
        <w:t>Id.</w:t>
      </w:r>
      <w:r w:rsidR="00016FF7" w:rsidRPr="00371524">
        <w:rPr>
          <w:rFonts w:ascii="Times New Roman" w:hAnsi="Times New Roman" w:cs="Times New Roman"/>
          <w:sz w:val="24"/>
          <w:szCs w:val="24"/>
        </w:rPr>
        <w:t xml:space="preserve"> The authors note that this kind of safety rule is only understood by coal miners and, unless all of your jurors are coal miners, this safety rule will not activate the reptilian part of the jurors’ brains. To make the safety rule “useful,” the authors recommend generalizing it. As applied to the coal mining company, the authors recommend widening the scope of the safety rule: “A company must not needlessly endanger its employees” or “A company is never allowed to remove a nece</w:t>
      </w:r>
      <w:r w:rsidR="00EB51F7" w:rsidRPr="00371524">
        <w:rPr>
          <w:rFonts w:ascii="Times New Roman" w:hAnsi="Times New Roman" w:cs="Times New Roman"/>
          <w:sz w:val="24"/>
          <w:szCs w:val="24"/>
        </w:rPr>
        <w:t xml:space="preserve">ssary safety measure.” </w:t>
      </w:r>
      <w:r w:rsidR="00EB51F7" w:rsidRPr="00371524">
        <w:rPr>
          <w:rFonts w:ascii="Times New Roman" w:hAnsi="Times New Roman" w:cs="Times New Roman"/>
          <w:i/>
          <w:sz w:val="24"/>
          <w:szCs w:val="24"/>
        </w:rPr>
        <w:t>Id.</w:t>
      </w:r>
      <w:r w:rsidR="00E162CE" w:rsidRPr="00371524">
        <w:rPr>
          <w:rFonts w:ascii="Times New Roman" w:hAnsi="Times New Roman" w:cs="Times New Roman"/>
          <w:sz w:val="24"/>
          <w:szCs w:val="24"/>
        </w:rPr>
        <w:t xml:space="preserve"> </w:t>
      </w:r>
    </w:p>
    <w:p w14:paraId="1C55F3C5" w14:textId="77777777" w:rsidR="00AB3038" w:rsidRDefault="00E162CE" w:rsidP="00B617D7">
      <w:pPr>
        <w:spacing w:after="0" w:line="480" w:lineRule="auto"/>
        <w:ind w:firstLine="720"/>
        <w:rPr>
          <w:rFonts w:ascii="Times New Roman" w:hAnsi="Times New Roman" w:cs="Times New Roman"/>
          <w:sz w:val="24"/>
          <w:szCs w:val="24"/>
        </w:rPr>
      </w:pPr>
      <w:r w:rsidRPr="00371524">
        <w:rPr>
          <w:rFonts w:ascii="Times New Roman" w:hAnsi="Times New Roman" w:cs="Times New Roman"/>
          <w:sz w:val="24"/>
          <w:szCs w:val="24"/>
        </w:rPr>
        <w:lastRenderedPageBreak/>
        <w:t>The umbrella rule is “the widest general rule the defendant violated – wide enough to encomp</w:t>
      </w:r>
      <w:r w:rsidR="0069143E" w:rsidRPr="00371524">
        <w:rPr>
          <w:rFonts w:ascii="Times New Roman" w:hAnsi="Times New Roman" w:cs="Times New Roman"/>
          <w:sz w:val="24"/>
          <w:szCs w:val="24"/>
        </w:rPr>
        <w:t xml:space="preserve">ass every juror’s Reptile.” </w:t>
      </w:r>
      <w:r w:rsidR="0069143E" w:rsidRPr="00371524">
        <w:rPr>
          <w:rFonts w:ascii="Times New Roman" w:hAnsi="Times New Roman" w:cs="Times New Roman"/>
          <w:i/>
          <w:sz w:val="24"/>
          <w:szCs w:val="24"/>
        </w:rPr>
        <w:t>Id.</w:t>
      </w:r>
      <w:r w:rsidR="0069143E" w:rsidRPr="00371524">
        <w:rPr>
          <w:rFonts w:ascii="Times New Roman" w:hAnsi="Times New Roman" w:cs="Times New Roman"/>
          <w:sz w:val="24"/>
          <w:szCs w:val="24"/>
        </w:rPr>
        <w:t xml:space="preserve"> at 55</w:t>
      </w:r>
      <w:r w:rsidRPr="00371524">
        <w:rPr>
          <w:rFonts w:ascii="Times New Roman" w:hAnsi="Times New Roman" w:cs="Times New Roman"/>
          <w:sz w:val="24"/>
          <w:szCs w:val="24"/>
        </w:rPr>
        <w:t>. The authors provide the following umbrella rule for almost every plaintiff’s case: “A driver [or physician, company, policeman, lawyer, accounting firm, etc.] is not allowed to needlessly endanger the public [or patients].”</w:t>
      </w:r>
      <w:r w:rsidR="00C97985" w:rsidRPr="00371524">
        <w:rPr>
          <w:rFonts w:ascii="Times New Roman" w:hAnsi="Times New Roman" w:cs="Times New Roman"/>
          <w:sz w:val="24"/>
          <w:szCs w:val="24"/>
        </w:rPr>
        <w:t xml:space="preserve"> </w:t>
      </w:r>
      <w:r w:rsidR="00925CAA" w:rsidRPr="00371524">
        <w:rPr>
          <w:rFonts w:ascii="Times New Roman" w:hAnsi="Times New Roman" w:cs="Times New Roman"/>
          <w:i/>
          <w:sz w:val="24"/>
          <w:szCs w:val="24"/>
        </w:rPr>
        <w:t>Id.</w:t>
      </w:r>
      <w:r w:rsidRPr="00371524">
        <w:rPr>
          <w:rFonts w:ascii="Times New Roman" w:hAnsi="Times New Roman" w:cs="Times New Roman"/>
          <w:sz w:val="24"/>
          <w:szCs w:val="24"/>
        </w:rPr>
        <w:t xml:space="preserve"> </w:t>
      </w:r>
    </w:p>
    <w:p w14:paraId="46A8590F" w14:textId="77777777" w:rsidR="009B7914" w:rsidRDefault="00E162CE" w:rsidP="00B617D7">
      <w:pPr>
        <w:spacing w:after="0" w:line="480" w:lineRule="auto"/>
        <w:ind w:firstLine="720"/>
        <w:rPr>
          <w:rFonts w:ascii="Times New Roman" w:hAnsi="Times New Roman" w:cs="Times New Roman"/>
          <w:sz w:val="24"/>
          <w:szCs w:val="24"/>
        </w:rPr>
      </w:pPr>
      <w:r w:rsidRPr="00371524">
        <w:rPr>
          <w:rFonts w:ascii="Times New Roman" w:hAnsi="Times New Roman" w:cs="Times New Roman"/>
          <w:sz w:val="24"/>
          <w:szCs w:val="24"/>
        </w:rPr>
        <w:t>After getting the defendant to agree that they are not allowed to needlessly endanger the public (umbrella rule), the next step is to get the defendant to agre</w:t>
      </w:r>
      <w:r w:rsidR="00496474" w:rsidRPr="00371524">
        <w:rPr>
          <w:rFonts w:ascii="Times New Roman" w:hAnsi="Times New Roman" w:cs="Times New Roman"/>
          <w:sz w:val="24"/>
          <w:szCs w:val="24"/>
        </w:rPr>
        <w:t xml:space="preserve">e that they violated a specific </w:t>
      </w:r>
      <w:r w:rsidRPr="00371524">
        <w:rPr>
          <w:rFonts w:ascii="Times New Roman" w:hAnsi="Times New Roman" w:cs="Times New Roman"/>
          <w:sz w:val="24"/>
          <w:szCs w:val="24"/>
        </w:rPr>
        <w:t>safety rule. According to the authors, a specific safety rule is the following: “A commercial truck driver must have his brakes</w:t>
      </w:r>
      <w:r w:rsidR="00925CAA" w:rsidRPr="00371524">
        <w:rPr>
          <w:rFonts w:ascii="Times New Roman" w:hAnsi="Times New Roman" w:cs="Times New Roman"/>
          <w:sz w:val="24"/>
          <w:szCs w:val="24"/>
        </w:rPr>
        <w:t xml:space="preserve"> inspected every 24 hours.” </w:t>
      </w:r>
      <w:r w:rsidR="00925CAA" w:rsidRPr="00371524">
        <w:rPr>
          <w:rFonts w:ascii="Times New Roman" w:hAnsi="Times New Roman" w:cs="Times New Roman"/>
          <w:i/>
          <w:sz w:val="24"/>
          <w:szCs w:val="24"/>
        </w:rPr>
        <w:t>Id.</w:t>
      </w:r>
      <w:r w:rsidR="00925CAA" w:rsidRPr="00371524">
        <w:rPr>
          <w:rFonts w:ascii="Times New Roman" w:hAnsi="Times New Roman" w:cs="Times New Roman"/>
          <w:sz w:val="24"/>
          <w:szCs w:val="24"/>
        </w:rPr>
        <w:t xml:space="preserve"> at 58</w:t>
      </w:r>
      <w:r w:rsidRPr="00371524">
        <w:rPr>
          <w:rFonts w:ascii="Times New Roman" w:hAnsi="Times New Roman" w:cs="Times New Roman"/>
          <w:sz w:val="24"/>
          <w:szCs w:val="24"/>
        </w:rPr>
        <w:t>. Once the defendant agrees that they cannot violate the umbrella rule</w:t>
      </w:r>
      <w:r w:rsidR="00B676C3" w:rsidRPr="00371524">
        <w:rPr>
          <w:rFonts w:ascii="Times New Roman" w:hAnsi="Times New Roman" w:cs="Times New Roman"/>
          <w:sz w:val="24"/>
          <w:szCs w:val="24"/>
        </w:rPr>
        <w:t xml:space="preserve"> (e.g., cannot needlessly endanger the public)</w:t>
      </w:r>
      <w:r w:rsidRPr="00371524">
        <w:rPr>
          <w:rFonts w:ascii="Times New Roman" w:hAnsi="Times New Roman" w:cs="Times New Roman"/>
          <w:sz w:val="24"/>
          <w:szCs w:val="24"/>
        </w:rPr>
        <w:t xml:space="preserve"> and after they agree that they violated the specific safety rule</w:t>
      </w:r>
      <w:r w:rsidR="00B676C3" w:rsidRPr="00371524">
        <w:rPr>
          <w:rFonts w:ascii="Times New Roman" w:hAnsi="Times New Roman" w:cs="Times New Roman"/>
          <w:sz w:val="24"/>
          <w:szCs w:val="24"/>
        </w:rPr>
        <w:t xml:space="preserve"> (e.g., must have breaks inspected every 24 hours)</w:t>
      </w:r>
      <w:r w:rsidRPr="00371524">
        <w:rPr>
          <w:rFonts w:ascii="Times New Roman" w:hAnsi="Times New Roman" w:cs="Times New Roman"/>
          <w:sz w:val="24"/>
          <w:szCs w:val="24"/>
        </w:rPr>
        <w:t>, the next step is to spread</w:t>
      </w:r>
      <w:r w:rsidR="00925CAA" w:rsidRPr="00371524">
        <w:rPr>
          <w:rFonts w:ascii="Times New Roman" w:hAnsi="Times New Roman" w:cs="Times New Roman"/>
          <w:sz w:val="24"/>
          <w:szCs w:val="24"/>
        </w:rPr>
        <w:t xml:space="preserve"> “the tentacles of danger.” </w:t>
      </w:r>
      <w:r w:rsidR="00925CAA" w:rsidRPr="00371524">
        <w:rPr>
          <w:rFonts w:ascii="Times New Roman" w:hAnsi="Times New Roman" w:cs="Times New Roman"/>
          <w:i/>
          <w:sz w:val="24"/>
          <w:szCs w:val="24"/>
        </w:rPr>
        <w:t>Id.</w:t>
      </w:r>
      <w:r w:rsidRPr="00371524">
        <w:rPr>
          <w:rFonts w:ascii="Times New Roman" w:hAnsi="Times New Roman" w:cs="Times New Roman"/>
          <w:sz w:val="24"/>
          <w:szCs w:val="24"/>
        </w:rPr>
        <w:t xml:space="preserve"> </w:t>
      </w:r>
    </w:p>
    <w:p w14:paraId="193534AE" w14:textId="436D7661" w:rsidR="00755423" w:rsidRPr="00371524" w:rsidRDefault="00E162CE" w:rsidP="00B617D7">
      <w:pPr>
        <w:spacing w:after="0" w:line="480" w:lineRule="auto"/>
        <w:ind w:firstLine="720"/>
        <w:rPr>
          <w:rFonts w:ascii="Times New Roman" w:hAnsi="Times New Roman" w:cs="Times New Roman"/>
          <w:sz w:val="24"/>
          <w:szCs w:val="24"/>
        </w:rPr>
      </w:pPr>
      <w:r w:rsidRPr="00371524">
        <w:rPr>
          <w:rFonts w:ascii="Times New Roman" w:hAnsi="Times New Roman" w:cs="Times New Roman"/>
          <w:sz w:val="24"/>
          <w:szCs w:val="24"/>
        </w:rPr>
        <w:t xml:space="preserve">To do this, the plaintiff attorney is supposed to ask, “Do you drive as carefully at other times as you were </w:t>
      </w:r>
      <w:r w:rsidR="00925CAA" w:rsidRPr="00371524">
        <w:rPr>
          <w:rFonts w:ascii="Times New Roman" w:hAnsi="Times New Roman" w:cs="Times New Roman"/>
          <w:sz w:val="24"/>
          <w:szCs w:val="24"/>
        </w:rPr>
        <w:t xml:space="preserve">driving when you hit John?” </w:t>
      </w:r>
      <w:r w:rsidR="00925CAA" w:rsidRPr="00371524">
        <w:rPr>
          <w:rFonts w:ascii="Times New Roman" w:hAnsi="Times New Roman" w:cs="Times New Roman"/>
          <w:i/>
          <w:sz w:val="24"/>
          <w:szCs w:val="24"/>
        </w:rPr>
        <w:t>Id.</w:t>
      </w:r>
      <w:r w:rsidR="00925CAA" w:rsidRPr="00371524">
        <w:rPr>
          <w:rFonts w:ascii="Times New Roman" w:hAnsi="Times New Roman" w:cs="Times New Roman"/>
          <w:sz w:val="24"/>
          <w:szCs w:val="24"/>
        </w:rPr>
        <w:t xml:space="preserve"> at 59</w:t>
      </w:r>
      <w:r w:rsidRPr="00371524">
        <w:rPr>
          <w:rFonts w:ascii="Times New Roman" w:hAnsi="Times New Roman" w:cs="Times New Roman"/>
          <w:sz w:val="24"/>
          <w:szCs w:val="24"/>
        </w:rPr>
        <w:t>. “If the defendant says yes, a juror who decides the defendant was negligent in this case now sees him as a general danger. If the defendant says no, he’s admitting he needlessly endangered John. If he answers, ‘I don’t know,’ you c</w:t>
      </w:r>
      <w:r w:rsidR="00925CAA" w:rsidRPr="00371524">
        <w:rPr>
          <w:rFonts w:ascii="Times New Roman" w:hAnsi="Times New Roman" w:cs="Times New Roman"/>
          <w:sz w:val="24"/>
          <w:szCs w:val="24"/>
        </w:rPr>
        <w:t xml:space="preserve">an get both benefits.” </w:t>
      </w:r>
      <w:r w:rsidR="00925CAA" w:rsidRPr="00371524">
        <w:rPr>
          <w:rFonts w:ascii="Times New Roman" w:hAnsi="Times New Roman" w:cs="Times New Roman"/>
          <w:i/>
          <w:sz w:val="24"/>
          <w:szCs w:val="24"/>
        </w:rPr>
        <w:t>Id.</w:t>
      </w:r>
      <w:r w:rsidR="00755423" w:rsidRPr="00371524">
        <w:rPr>
          <w:rFonts w:ascii="Times New Roman" w:hAnsi="Times New Roman" w:cs="Times New Roman"/>
          <w:sz w:val="24"/>
          <w:szCs w:val="24"/>
        </w:rPr>
        <w:t xml:space="preserve"> </w:t>
      </w:r>
    </w:p>
    <w:p w14:paraId="7219A168" w14:textId="77777777" w:rsidR="00A95E25" w:rsidRDefault="00755423" w:rsidP="00B617D7">
      <w:pPr>
        <w:spacing w:after="0" w:line="480" w:lineRule="auto"/>
        <w:ind w:firstLine="720"/>
        <w:rPr>
          <w:rFonts w:ascii="Times New Roman" w:hAnsi="Times New Roman" w:cs="Times New Roman"/>
          <w:sz w:val="24"/>
          <w:szCs w:val="24"/>
        </w:rPr>
      </w:pPr>
      <w:r w:rsidRPr="00371524">
        <w:rPr>
          <w:rFonts w:ascii="Times New Roman" w:hAnsi="Times New Roman" w:cs="Times New Roman"/>
          <w:sz w:val="24"/>
          <w:szCs w:val="24"/>
        </w:rPr>
        <w:t>The authors re</w:t>
      </w:r>
      <w:r w:rsidR="004920A6" w:rsidRPr="00371524">
        <w:rPr>
          <w:rFonts w:ascii="Times New Roman" w:hAnsi="Times New Roman" w:cs="Times New Roman"/>
          <w:sz w:val="24"/>
          <w:szCs w:val="24"/>
        </w:rPr>
        <w:t>commend this three-step process</w:t>
      </w:r>
      <w:r w:rsidRPr="00371524">
        <w:rPr>
          <w:rFonts w:ascii="Times New Roman" w:hAnsi="Times New Roman" w:cs="Times New Roman"/>
          <w:sz w:val="24"/>
          <w:szCs w:val="24"/>
        </w:rPr>
        <w:t xml:space="preserve"> </w:t>
      </w:r>
      <w:r w:rsidR="00217B67" w:rsidRPr="00371524">
        <w:rPr>
          <w:rFonts w:ascii="Times New Roman" w:hAnsi="Times New Roman" w:cs="Times New Roman"/>
          <w:sz w:val="24"/>
          <w:szCs w:val="24"/>
        </w:rPr>
        <w:t xml:space="preserve">for one reason only: to show jurors that your client is dangerous and that his actions endanger the community (i.e., the jurors and their families). </w:t>
      </w:r>
      <w:r w:rsidR="004920A6" w:rsidRPr="00371524">
        <w:rPr>
          <w:rFonts w:ascii="Times New Roman" w:hAnsi="Times New Roman" w:cs="Times New Roman"/>
          <w:sz w:val="24"/>
          <w:szCs w:val="24"/>
        </w:rPr>
        <w:t xml:space="preserve">The logic behind the Reptile strategy is appealing. After all, who would agree that someone is allowed to needlessly endanger the public? </w:t>
      </w:r>
      <w:r w:rsidR="00217B67" w:rsidRPr="00371524">
        <w:rPr>
          <w:rFonts w:ascii="Times New Roman" w:hAnsi="Times New Roman" w:cs="Times New Roman"/>
          <w:sz w:val="24"/>
          <w:szCs w:val="24"/>
        </w:rPr>
        <w:t>But the fact of the matter</w:t>
      </w:r>
      <w:r w:rsidR="000A1C63" w:rsidRPr="00371524">
        <w:rPr>
          <w:rFonts w:ascii="Times New Roman" w:hAnsi="Times New Roman" w:cs="Times New Roman"/>
          <w:sz w:val="24"/>
          <w:szCs w:val="24"/>
        </w:rPr>
        <w:t xml:space="preserve"> is that every case is different</w:t>
      </w:r>
      <w:r w:rsidR="00217B67" w:rsidRPr="00371524">
        <w:rPr>
          <w:rFonts w:ascii="Times New Roman" w:hAnsi="Times New Roman" w:cs="Times New Roman"/>
          <w:sz w:val="24"/>
          <w:szCs w:val="24"/>
        </w:rPr>
        <w:t xml:space="preserve"> and </w:t>
      </w:r>
      <w:r w:rsidR="00A75193" w:rsidRPr="00371524">
        <w:rPr>
          <w:rFonts w:ascii="Times New Roman" w:hAnsi="Times New Roman" w:cs="Times New Roman"/>
          <w:sz w:val="24"/>
          <w:szCs w:val="24"/>
        </w:rPr>
        <w:t>has unique facts. Corporate d</w:t>
      </w:r>
      <w:r w:rsidR="00217B67" w:rsidRPr="00371524">
        <w:rPr>
          <w:rFonts w:ascii="Times New Roman" w:hAnsi="Times New Roman" w:cs="Times New Roman"/>
          <w:sz w:val="24"/>
          <w:szCs w:val="24"/>
        </w:rPr>
        <w:t>efendants are not in the business of harming people. Otherwise, th</w:t>
      </w:r>
      <w:r w:rsidR="001532E9" w:rsidRPr="00371524">
        <w:rPr>
          <w:rFonts w:ascii="Times New Roman" w:hAnsi="Times New Roman" w:cs="Times New Roman"/>
          <w:sz w:val="24"/>
          <w:szCs w:val="24"/>
        </w:rPr>
        <w:t>ey would not be in business for</w:t>
      </w:r>
      <w:r w:rsidR="00217B67" w:rsidRPr="00371524">
        <w:rPr>
          <w:rFonts w:ascii="Times New Roman" w:hAnsi="Times New Roman" w:cs="Times New Roman"/>
          <w:sz w:val="24"/>
          <w:szCs w:val="24"/>
        </w:rPr>
        <w:t xml:space="preserve"> long. </w:t>
      </w:r>
    </w:p>
    <w:p w14:paraId="11EA9DC8" w14:textId="5EB110D2" w:rsidR="00D2256A" w:rsidRPr="00371524" w:rsidRDefault="00217B67" w:rsidP="00B617D7">
      <w:pPr>
        <w:spacing w:after="0" w:line="480" w:lineRule="auto"/>
        <w:ind w:firstLine="720"/>
        <w:rPr>
          <w:rFonts w:ascii="Times New Roman" w:hAnsi="Times New Roman" w:cs="Times New Roman"/>
          <w:sz w:val="24"/>
          <w:szCs w:val="24"/>
        </w:rPr>
      </w:pPr>
      <w:r w:rsidRPr="00371524">
        <w:rPr>
          <w:rFonts w:ascii="Times New Roman" w:hAnsi="Times New Roman" w:cs="Times New Roman"/>
          <w:sz w:val="24"/>
          <w:szCs w:val="24"/>
        </w:rPr>
        <w:lastRenderedPageBreak/>
        <w:t xml:space="preserve">For </w:t>
      </w:r>
      <w:r w:rsidR="00F13695" w:rsidRPr="00371524">
        <w:rPr>
          <w:rFonts w:ascii="Times New Roman" w:hAnsi="Times New Roman" w:cs="Times New Roman"/>
          <w:sz w:val="24"/>
          <w:szCs w:val="24"/>
        </w:rPr>
        <w:t xml:space="preserve">pleading and </w:t>
      </w:r>
      <w:r w:rsidRPr="00371524">
        <w:rPr>
          <w:rFonts w:ascii="Times New Roman" w:hAnsi="Times New Roman" w:cs="Times New Roman"/>
          <w:sz w:val="24"/>
          <w:szCs w:val="24"/>
        </w:rPr>
        <w:t>discovery purposes, we recommend combatting the Reptile strategy by</w:t>
      </w:r>
      <w:r w:rsidR="00941D70" w:rsidRPr="00371524">
        <w:rPr>
          <w:rFonts w:ascii="Times New Roman" w:hAnsi="Times New Roman" w:cs="Times New Roman"/>
          <w:sz w:val="24"/>
          <w:szCs w:val="24"/>
        </w:rPr>
        <w:t xml:space="preserve"> telling a different story. Dr. Kanasky, in his groundbreaking article, “Debunking and Redefining the Plaintiff Reptile Theory,” calls this “</w:t>
      </w:r>
      <w:r w:rsidR="00981404" w:rsidRPr="00371524">
        <w:rPr>
          <w:rFonts w:ascii="Times New Roman" w:hAnsi="Times New Roman" w:cs="Times New Roman"/>
          <w:sz w:val="24"/>
          <w:szCs w:val="24"/>
        </w:rPr>
        <w:t>re</w:t>
      </w:r>
      <w:r w:rsidR="00981404">
        <w:rPr>
          <w:rFonts w:ascii="Times New Roman" w:hAnsi="Times New Roman" w:cs="Times New Roman"/>
          <w:sz w:val="24"/>
          <w:szCs w:val="24"/>
        </w:rPr>
        <w:t>-</w:t>
      </w:r>
      <w:r w:rsidR="00981404" w:rsidRPr="00371524">
        <w:rPr>
          <w:rFonts w:ascii="Times New Roman" w:hAnsi="Times New Roman" w:cs="Times New Roman"/>
          <w:sz w:val="24"/>
          <w:szCs w:val="24"/>
        </w:rPr>
        <w:t>priming</w:t>
      </w:r>
      <w:r w:rsidR="00941D70" w:rsidRPr="00371524">
        <w:rPr>
          <w:rFonts w:ascii="Times New Roman" w:hAnsi="Times New Roman" w:cs="Times New Roman"/>
          <w:sz w:val="24"/>
          <w:szCs w:val="24"/>
        </w:rPr>
        <w:t xml:space="preserve">.” </w:t>
      </w:r>
      <w:r w:rsidR="00DE5012" w:rsidRPr="00371524">
        <w:rPr>
          <w:rFonts w:ascii="Times New Roman" w:hAnsi="Times New Roman" w:cs="Times New Roman"/>
          <w:sz w:val="24"/>
          <w:szCs w:val="24"/>
        </w:rPr>
        <w:t xml:space="preserve">Bill Kanasky, </w:t>
      </w:r>
      <w:r w:rsidR="00DE5012" w:rsidRPr="00371524">
        <w:rPr>
          <w:rFonts w:ascii="Times New Roman" w:hAnsi="Times New Roman" w:cs="Times New Roman"/>
          <w:i/>
          <w:sz w:val="24"/>
          <w:szCs w:val="24"/>
        </w:rPr>
        <w:t>Debunking and Redefining the Plaintiff Reptile Theory</w:t>
      </w:r>
      <w:r w:rsidR="00DE5012" w:rsidRPr="00371524">
        <w:rPr>
          <w:rFonts w:ascii="Times New Roman" w:hAnsi="Times New Roman" w:cs="Times New Roman"/>
          <w:sz w:val="24"/>
          <w:szCs w:val="24"/>
        </w:rPr>
        <w:t>, For The Defense, April 2014, at 18</w:t>
      </w:r>
      <w:r w:rsidR="00941D70" w:rsidRPr="00371524">
        <w:rPr>
          <w:rFonts w:ascii="Times New Roman" w:hAnsi="Times New Roman" w:cs="Times New Roman"/>
          <w:sz w:val="24"/>
          <w:szCs w:val="24"/>
        </w:rPr>
        <w:t xml:space="preserve">.  </w:t>
      </w:r>
      <w:r w:rsidR="00337745" w:rsidRPr="00371524">
        <w:rPr>
          <w:rFonts w:ascii="Times New Roman" w:hAnsi="Times New Roman" w:cs="Times New Roman"/>
          <w:sz w:val="24"/>
          <w:szCs w:val="24"/>
        </w:rPr>
        <w:t>For example, if a plaintiff attorney says that a “physician should always put safety as their top priority,” you can say that a “physician’s real priority needs to be to treat every patient as a unique individual.”</w:t>
      </w:r>
      <w:r w:rsidR="00337745" w:rsidRPr="00371524">
        <w:rPr>
          <w:rStyle w:val="FootnoteReference"/>
          <w:rFonts w:ascii="Times New Roman" w:hAnsi="Times New Roman" w:cs="Times New Roman"/>
          <w:sz w:val="24"/>
          <w:szCs w:val="24"/>
        </w:rPr>
        <w:footnoteReference w:id="3"/>
      </w:r>
      <w:r w:rsidR="00DE5012" w:rsidRPr="00371524">
        <w:rPr>
          <w:rFonts w:ascii="Times New Roman" w:hAnsi="Times New Roman" w:cs="Times New Roman"/>
          <w:sz w:val="24"/>
          <w:szCs w:val="24"/>
        </w:rPr>
        <w:t xml:space="preserve"> </w:t>
      </w:r>
      <w:r w:rsidR="00DE5012" w:rsidRPr="00371524">
        <w:rPr>
          <w:rFonts w:ascii="Times New Roman" w:hAnsi="Times New Roman" w:cs="Times New Roman"/>
          <w:i/>
          <w:sz w:val="24"/>
          <w:szCs w:val="24"/>
        </w:rPr>
        <w:t>Id.</w:t>
      </w:r>
      <w:r w:rsidR="00DE5012" w:rsidRPr="00371524">
        <w:rPr>
          <w:rFonts w:ascii="Times New Roman" w:hAnsi="Times New Roman" w:cs="Times New Roman"/>
          <w:sz w:val="24"/>
          <w:szCs w:val="24"/>
        </w:rPr>
        <w:t xml:space="preserve"> </w:t>
      </w:r>
    </w:p>
    <w:p w14:paraId="6C4E86B3" w14:textId="754594FB" w:rsidR="00B617D7" w:rsidRPr="00371524" w:rsidRDefault="009F796A" w:rsidP="00B617D7">
      <w:pPr>
        <w:spacing w:after="0" w:line="480" w:lineRule="auto"/>
        <w:ind w:firstLine="720"/>
        <w:rPr>
          <w:rFonts w:ascii="Times New Roman" w:hAnsi="Times New Roman" w:cs="Times New Roman"/>
          <w:sz w:val="24"/>
          <w:szCs w:val="24"/>
        </w:rPr>
      </w:pPr>
      <w:r w:rsidRPr="00371524">
        <w:rPr>
          <w:rFonts w:ascii="Times New Roman" w:hAnsi="Times New Roman" w:cs="Times New Roman"/>
          <w:sz w:val="24"/>
          <w:szCs w:val="24"/>
        </w:rPr>
        <w:t xml:space="preserve">Below, we discuss strategies for answering </w:t>
      </w:r>
      <w:r w:rsidR="00AD0D6B" w:rsidRPr="00371524">
        <w:rPr>
          <w:rFonts w:ascii="Times New Roman" w:hAnsi="Times New Roman" w:cs="Times New Roman"/>
          <w:sz w:val="24"/>
          <w:szCs w:val="24"/>
        </w:rPr>
        <w:t xml:space="preserve">reptilian complaints, interrogatories, and requests for admissions. We do not discuss requests for production of documents because that form of discovery is not applicable to the Reptile strategy. </w:t>
      </w:r>
    </w:p>
    <w:p w14:paraId="2D86D5EE" w14:textId="3B705D13" w:rsidR="008215B7" w:rsidRPr="00371524" w:rsidRDefault="00B617D7" w:rsidP="008215B7">
      <w:pPr>
        <w:pStyle w:val="ListParagraph"/>
        <w:numPr>
          <w:ilvl w:val="0"/>
          <w:numId w:val="2"/>
        </w:numPr>
        <w:spacing w:line="480" w:lineRule="auto"/>
        <w:rPr>
          <w:rFonts w:ascii="Times New Roman" w:hAnsi="Times New Roman" w:cs="Times New Roman"/>
          <w:b/>
          <w:sz w:val="24"/>
          <w:szCs w:val="24"/>
        </w:rPr>
      </w:pPr>
      <w:r w:rsidRPr="00371524">
        <w:rPr>
          <w:rFonts w:ascii="Times New Roman" w:hAnsi="Times New Roman" w:cs="Times New Roman"/>
          <w:b/>
          <w:sz w:val="24"/>
          <w:szCs w:val="24"/>
        </w:rPr>
        <w:t xml:space="preserve">General safety rules are </w:t>
      </w:r>
      <w:r w:rsidR="00D3052A" w:rsidRPr="00371524">
        <w:rPr>
          <w:rFonts w:ascii="Times New Roman" w:hAnsi="Times New Roman" w:cs="Times New Roman"/>
          <w:b/>
          <w:sz w:val="24"/>
          <w:szCs w:val="24"/>
        </w:rPr>
        <w:t xml:space="preserve">the equivalent of </w:t>
      </w:r>
      <w:r w:rsidRPr="00371524">
        <w:rPr>
          <w:rFonts w:ascii="Times New Roman" w:hAnsi="Times New Roman" w:cs="Times New Roman"/>
          <w:b/>
          <w:sz w:val="24"/>
          <w:szCs w:val="24"/>
        </w:rPr>
        <w:t xml:space="preserve">vague legal conclusions and the United States Supreme Court has instructed district </w:t>
      </w:r>
      <w:r w:rsidR="00BF2968" w:rsidRPr="00371524">
        <w:rPr>
          <w:rFonts w:ascii="Times New Roman" w:hAnsi="Times New Roman" w:cs="Times New Roman"/>
          <w:b/>
          <w:sz w:val="24"/>
          <w:szCs w:val="24"/>
        </w:rPr>
        <w:t xml:space="preserve">court </w:t>
      </w:r>
      <w:r w:rsidRPr="00371524">
        <w:rPr>
          <w:rFonts w:ascii="Times New Roman" w:hAnsi="Times New Roman" w:cs="Times New Roman"/>
          <w:b/>
          <w:sz w:val="24"/>
          <w:szCs w:val="24"/>
        </w:rPr>
        <w:t>judges to ignore l</w:t>
      </w:r>
      <w:r w:rsidR="009C5A64" w:rsidRPr="00371524">
        <w:rPr>
          <w:rFonts w:ascii="Times New Roman" w:hAnsi="Times New Roman" w:cs="Times New Roman"/>
          <w:b/>
          <w:sz w:val="24"/>
          <w:szCs w:val="24"/>
        </w:rPr>
        <w:t>egal conclusions in pleadings</w:t>
      </w:r>
      <w:r w:rsidR="00586D79" w:rsidRPr="00371524">
        <w:rPr>
          <w:rFonts w:ascii="Times New Roman" w:hAnsi="Times New Roman" w:cs="Times New Roman"/>
          <w:b/>
          <w:sz w:val="24"/>
          <w:szCs w:val="24"/>
        </w:rPr>
        <w:t>.</w:t>
      </w:r>
    </w:p>
    <w:p w14:paraId="55FFB4FA" w14:textId="1465ED09" w:rsidR="00DA5923" w:rsidRPr="00371524" w:rsidRDefault="008215B7" w:rsidP="008215B7">
      <w:pPr>
        <w:spacing w:after="0" w:line="480" w:lineRule="auto"/>
        <w:rPr>
          <w:rFonts w:ascii="Times New Roman" w:hAnsi="Times New Roman" w:cs="Times New Roman"/>
          <w:sz w:val="24"/>
          <w:szCs w:val="24"/>
        </w:rPr>
      </w:pPr>
      <w:r w:rsidRPr="00371524">
        <w:rPr>
          <w:rFonts w:ascii="Times New Roman" w:hAnsi="Times New Roman" w:cs="Times New Roman"/>
          <w:sz w:val="24"/>
          <w:szCs w:val="24"/>
        </w:rPr>
        <w:tab/>
        <w:t xml:space="preserve">In federal court, pleadings are governed by </w:t>
      </w:r>
      <w:r w:rsidRPr="00145054">
        <w:rPr>
          <w:rFonts w:ascii="Times New Roman" w:hAnsi="Times New Roman" w:cs="Times New Roman"/>
          <w:sz w:val="24"/>
          <w:szCs w:val="24"/>
          <w:u w:val="single"/>
        </w:rPr>
        <w:t>Bell Atlantic Corp. v. Twombly</w:t>
      </w:r>
      <w:r w:rsidR="00CF061B" w:rsidRPr="00371524">
        <w:rPr>
          <w:rFonts w:ascii="Times New Roman" w:hAnsi="Times New Roman" w:cs="Times New Roman"/>
          <w:sz w:val="24"/>
          <w:szCs w:val="24"/>
        </w:rPr>
        <w:t xml:space="preserve">, 550 U.S. 544, 127 S. Ct. 1955 </w:t>
      </w:r>
      <w:r w:rsidRPr="00371524">
        <w:rPr>
          <w:rFonts w:ascii="Times New Roman" w:hAnsi="Times New Roman" w:cs="Times New Roman"/>
          <w:sz w:val="24"/>
          <w:szCs w:val="24"/>
        </w:rPr>
        <w:t xml:space="preserve">(2007), and </w:t>
      </w:r>
      <w:r w:rsidRPr="00145054">
        <w:rPr>
          <w:rFonts w:ascii="Times New Roman" w:hAnsi="Times New Roman" w:cs="Times New Roman"/>
          <w:sz w:val="24"/>
          <w:szCs w:val="24"/>
          <w:u w:val="single"/>
        </w:rPr>
        <w:t>Ashcroft v. Iqbal</w:t>
      </w:r>
      <w:r w:rsidRPr="00371524">
        <w:rPr>
          <w:rFonts w:ascii="Times New Roman" w:hAnsi="Times New Roman" w:cs="Times New Roman"/>
          <w:sz w:val="24"/>
          <w:szCs w:val="24"/>
        </w:rPr>
        <w:t xml:space="preserve">, </w:t>
      </w:r>
      <w:r w:rsidR="00CF061B" w:rsidRPr="00371524">
        <w:rPr>
          <w:rFonts w:ascii="Times New Roman" w:hAnsi="Times New Roman" w:cs="Times New Roman"/>
          <w:sz w:val="24"/>
          <w:szCs w:val="24"/>
        </w:rPr>
        <w:t xml:space="preserve">556 U.S. 662, </w:t>
      </w:r>
      <w:r w:rsidRPr="00371524">
        <w:rPr>
          <w:rFonts w:ascii="Times New Roman" w:hAnsi="Times New Roman" w:cs="Times New Roman"/>
          <w:sz w:val="24"/>
          <w:szCs w:val="24"/>
        </w:rPr>
        <w:t xml:space="preserve">129 S. Ct. 1937 (2009). In </w:t>
      </w:r>
      <w:r w:rsidRPr="00145054">
        <w:rPr>
          <w:rFonts w:ascii="Times New Roman" w:hAnsi="Times New Roman" w:cs="Times New Roman"/>
          <w:sz w:val="24"/>
          <w:szCs w:val="24"/>
          <w:u w:val="single"/>
        </w:rPr>
        <w:t>Twombly</w:t>
      </w:r>
      <w:r w:rsidRPr="00371524">
        <w:rPr>
          <w:rFonts w:ascii="Times New Roman" w:hAnsi="Times New Roman" w:cs="Times New Roman"/>
          <w:sz w:val="24"/>
          <w:szCs w:val="24"/>
        </w:rPr>
        <w:t xml:space="preserve">, the Court held that a plaintiff must plead “only enough facts to state a claim to relief that is plausible on its face.” </w:t>
      </w:r>
      <w:r w:rsidR="00981404" w:rsidRPr="00145054">
        <w:rPr>
          <w:rFonts w:ascii="Times New Roman" w:hAnsi="Times New Roman" w:cs="Times New Roman"/>
          <w:sz w:val="24"/>
          <w:szCs w:val="24"/>
          <w:u w:val="single"/>
        </w:rPr>
        <w:t>Twombly</w:t>
      </w:r>
      <w:r w:rsidRPr="00371524">
        <w:rPr>
          <w:rFonts w:ascii="Times New Roman" w:hAnsi="Times New Roman" w:cs="Times New Roman"/>
          <w:sz w:val="24"/>
          <w:szCs w:val="24"/>
        </w:rPr>
        <w:t xml:space="preserve">, 550 U.S. at 570. In </w:t>
      </w:r>
      <w:r w:rsidRPr="00145054">
        <w:rPr>
          <w:rFonts w:ascii="Times New Roman" w:hAnsi="Times New Roman" w:cs="Times New Roman"/>
          <w:sz w:val="24"/>
          <w:szCs w:val="24"/>
          <w:u w:val="single"/>
        </w:rPr>
        <w:t>Iqbal</w:t>
      </w:r>
      <w:r w:rsidRPr="00371524">
        <w:rPr>
          <w:rFonts w:ascii="Times New Roman" w:hAnsi="Times New Roman" w:cs="Times New Roman"/>
          <w:sz w:val="24"/>
          <w:szCs w:val="24"/>
        </w:rPr>
        <w:t xml:space="preserve">, the Court made clear that the “plausibility” standard of </w:t>
      </w:r>
      <w:r w:rsidRPr="00145054">
        <w:rPr>
          <w:rFonts w:ascii="Times New Roman" w:hAnsi="Times New Roman" w:cs="Times New Roman"/>
          <w:sz w:val="24"/>
          <w:szCs w:val="24"/>
          <w:u w:val="single"/>
        </w:rPr>
        <w:t>Twombly</w:t>
      </w:r>
      <w:r w:rsidRPr="00371524">
        <w:rPr>
          <w:rFonts w:ascii="Times New Roman" w:hAnsi="Times New Roman" w:cs="Times New Roman"/>
          <w:sz w:val="24"/>
          <w:szCs w:val="24"/>
        </w:rPr>
        <w:t xml:space="preserve"> applies to all cases. The majority opinion also clarified the methodology set forth in </w:t>
      </w:r>
      <w:r w:rsidRPr="00145054">
        <w:rPr>
          <w:rFonts w:ascii="Times New Roman" w:hAnsi="Times New Roman" w:cs="Times New Roman"/>
          <w:sz w:val="24"/>
          <w:szCs w:val="24"/>
          <w:u w:val="single"/>
        </w:rPr>
        <w:t>Twombly</w:t>
      </w:r>
      <w:r w:rsidRPr="00371524">
        <w:rPr>
          <w:rFonts w:ascii="Times New Roman" w:hAnsi="Times New Roman" w:cs="Times New Roman"/>
          <w:sz w:val="24"/>
          <w:szCs w:val="24"/>
        </w:rPr>
        <w:t xml:space="preserve">. First, the court ruling on a motion to dismiss under Rule 12(b)(6) ignores “legal conclusions” alleged in the complaint. Second, the court looks to the </w:t>
      </w:r>
      <w:r w:rsidRPr="00371524">
        <w:rPr>
          <w:rFonts w:ascii="Times New Roman" w:hAnsi="Times New Roman" w:cs="Times New Roman"/>
          <w:sz w:val="24"/>
          <w:szCs w:val="24"/>
        </w:rPr>
        <w:lastRenderedPageBreak/>
        <w:t xml:space="preserve">factual allegations to see if the claim is plausible. </w:t>
      </w:r>
      <w:r w:rsidR="00021AE7" w:rsidRPr="00371524">
        <w:rPr>
          <w:rFonts w:ascii="Times New Roman" w:hAnsi="Times New Roman" w:cs="Times New Roman"/>
          <w:sz w:val="24"/>
          <w:szCs w:val="24"/>
        </w:rPr>
        <w:t xml:space="preserve">Defense practitioners should follow a similar procedure when answering </w:t>
      </w:r>
      <w:r w:rsidR="00EC66A6" w:rsidRPr="00371524">
        <w:rPr>
          <w:rFonts w:ascii="Times New Roman" w:hAnsi="Times New Roman" w:cs="Times New Roman"/>
          <w:sz w:val="24"/>
          <w:szCs w:val="24"/>
        </w:rPr>
        <w:t xml:space="preserve">Reptile </w:t>
      </w:r>
      <w:r w:rsidR="00021AE7" w:rsidRPr="00371524">
        <w:rPr>
          <w:rFonts w:ascii="Times New Roman" w:hAnsi="Times New Roman" w:cs="Times New Roman"/>
          <w:sz w:val="24"/>
          <w:szCs w:val="24"/>
        </w:rPr>
        <w:t>complaints.</w:t>
      </w:r>
      <w:r w:rsidR="004B4F5F" w:rsidRPr="00371524">
        <w:rPr>
          <w:rStyle w:val="FootnoteReference"/>
          <w:rFonts w:ascii="Times New Roman" w:hAnsi="Times New Roman" w:cs="Times New Roman"/>
          <w:sz w:val="24"/>
          <w:szCs w:val="24"/>
        </w:rPr>
        <w:footnoteReference w:id="4"/>
      </w:r>
      <w:r w:rsidR="00021AE7" w:rsidRPr="00371524">
        <w:rPr>
          <w:rFonts w:ascii="Times New Roman" w:hAnsi="Times New Roman" w:cs="Times New Roman"/>
          <w:sz w:val="24"/>
          <w:szCs w:val="24"/>
        </w:rPr>
        <w:t xml:space="preserve"> </w:t>
      </w:r>
    </w:p>
    <w:p w14:paraId="07177AA8" w14:textId="32106957" w:rsidR="00522E54" w:rsidRPr="00371524" w:rsidRDefault="00DA5923" w:rsidP="008215B7">
      <w:pPr>
        <w:spacing w:after="0" w:line="480" w:lineRule="auto"/>
        <w:rPr>
          <w:rFonts w:ascii="Times New Roman" w:hAnsi="Times New Roman" w:cs="Times New Roman"/>
          <w:sz w:val="24"/>
          <w:szCs w:val="24"/>
        </w:rPr>
      </w:pPr>
      <w:r w:rsidRPr="00371524">
        <w:rPr>
          <w:rFonts w:ascii="Times New Roman" w:hAnsi="Times New Roman" w:cs="Times New Roman"/>
          <w:sz w:val="24"/>
          <w:szCs w:val="24"/>
        </w:rPr>
        <w:tab/>
      </w:r>
      <w:r w:rsidR="00021AE7" w:rsidRPr="00371524">
        <w:rPr>
          <w:rFonts w:ascii="Times New Roman" w:hAnsi="Times New Roman" w:cs="Times New Roman"/>
          <w:sz w:val="24"/>
          <w:szCs w:val="24"/>
        </w:rPr>
        <w:t>First, look for legal conclusions</w:t>
      </w:r>
      <w:r w:rsidR="006A005D" w:rsidRPr="00371524">
        <w:rPr>
          <w:rFonts w:ascii="Times New Roman" w:hAnsi="Times New Roman" w:cs="Times New Roman"/>
          <w:sz w:val="24"/>
          <w:szCs w:val="24"/>
        </w:rPr>
        <w:t xml:space="preserve">. This means looking for </w:t>
      </w:r>
      <w:r w:rsidR="00774EF7">
        <w:rPr>
          <w:rFonts w:ascii="Times New Roman" w:hAnsi="Times New Roman" w:cs="Times New Roman"/>
          <w:sz w:val="24"/>
          <w:szCs w:val="24"/>
        </w:rPr>
        <w:t xml:space="preserve">alleged acts of negligence and </w:t>
      </w:r>
      <w:r w:rsidR="00B7531A">
        <w:rPr>
          <w:rFonts w:ascii="Times New Roman" w:hAnsi="Times New Roman" w:cs="Times New Roman"/>
          <w:sz w:val="24"/>
          <w:szCs w:val="24"/>
        </w:rPr>
        <w:t xml:space="preserve">vague </w:t>
      </w:r>
      <w:r w:rsidR="006A005D" w:rsidRPr="00371524">
        <w:rPr>
          <w:rFonts w:ascii="Times New Roman" w:hAnsi="Times New Roman" w:cs="Times New Roman"/>
          <w:sz w:val="24"/>
          <w:szCs w:val="24"/>
        </w:rPr>
        <w:t>safety rules</w:t>
      </w:r>
      <w:r w:rsidR="00A37260" w:rsidRPr="00371524">
        <w:rPr>
          <w:rFonts w:ascii="Times New Roman" w:hAnsi="Times New Roman" w:cs="Times New Roman"/>
          <w:sz w:val="24"/>
          <w:szCs w:val="24"/>
        </w:rPr>
        <w:t>, which are often simple legal conclusions</w:t>
      </w:r>
      <w:r w:rsidR="006A005D" w:rsidRPr="00371524">
        <w:rPr>
          <w:rFonts w:ascii="Times New Roman" w:hAnsi="Times New Roman" w:cs="Times New Roman"/>
          <w:sz w:val="24"/>
          <w:szCs w:val="24"/>
        </w:rPr>
        <w:t xml:space="preserve">. </w:t>
      </w:r>
      <w:r w:rsidR="00D44E7B" w:rsidRPr="00371524">
        <w:rPr>
          <w:rFonts w:ascii="Times New Roman" w:hAnsi="Times New Roman" w:cs="Times New Roman"/>
          <w:sz w:val="24"/>
          <w:szCs w:val="24"/>
        </w:rPr>
        <w:t xml:space="preserve">If the plaintiff </w:t>
      </w:r>
      <w:r w:rsidR="0085063F" w:rsidRPr="00371524">
        <w:rPr>
          <w:rFonts w:ascii="Times New Roman" w:hAnsi="Times New Roman" w:cs="Times New Roman"/>
          <w:sz w:val="24"/>
          <w:szCs w:val="24"/>
        </w:rPr>
        <w:t>asserts legal conc</w:t>
      </w:r>
      <w:r w:rsidR="009206FC" w:rsidRPr="00371524">
        <w:rPr>
          <w:rFonts w:ascii="Times New Roman" w:hAnsi="Times New Roman" w:cs="Times New Roman"/>
          <w:sz w:val="24"/>
          <w:szCs w:val="24"/>
        </w:rPr>
        <w:t>lusions</w:t>
      </w:r>
      <w:r w:rsidR="00D44E7B" w:rsidRPr="00371524">
        <w:rPr>
          <w:rFonts w:ascii="Times New Roman" w:hAnsi="Times New Roman" w:cs="Times New Roman"/>
          <w:sz w:val="24"/>
          <w:szCs w:val="24"/>
        </w:rPr>
        <w:t xml:space="preserve"> or vague safety rules</w:t>
      </w:r>
      <w:r w:rsidR="009206FC" w:rsidRPr="00371524">
        <w:rPr>
          <w:rFonts w:ascii="Times New Roman" w:hAnsi="Times New Roman" w:cs="Times New Roman"/>
          <w:sz w:val="24"/>
          <w:szCs w:val="24"/>
        </w:rPr>
        <w:t>, then draw attention to it</w:t>
      </w:r>
      <w:r w:rsidR="009F217F" w:rsidRPr="00371524">
        <w:rPr>
          <w:rFonts w:ascii="Times New Roman" w:hAnsi="Times New Roman" w:cs="Times New Roman"/>
          <w:sz w:val="24"/>
          <w:szCs w:val="24"/>
        </w:rPr>
        <w:t>. As an example, we had a ca</w:t>
      </w:r>
      <w:r w:rsidR="00CB703D" w:rsidRPr="00371524">
        <w:rPr>
          <w:rFonts w:ascii="Times New Roman" w:hAnsi="Times New Roman" w:cs="Times New Roman"/>
          <w:sz w:val="24"/>
          <w:szCs w:val="24"/>
        </w:rPr>
        <w:t xml:space="preserve">se where the plaintiff </w:t>
      </w:r>
      <w:r w:rsidR="009F217F" w:rsidRPr="00371524">
        <w:rPr>
          <w:rFonts w:ascii="Times New Roman" w:hAnsi="Times New Roman" w:cs="Times New Roman"/>
          <w:sz w:val="24"/>
          <w:szCs w:val="24"/>
        </w:rPr>
        <w:t>alleged the following</w:t>
      </w:r>
      <w:r w:rsidR="00154E3E" w:rsidRPr="00371524">
        <w:rPr>
          <w:rFonts w:ascii="Times New Roman" w:hAnsi="Times New Roman" w:cs="Times New Roman"/>
          <w:sz w:val="24"/>
          <w:szCs w:val="24"/>
        </w:rPr>
        <w:t xml:space="preserve"> in her complaint</w:t>
      </w:r>
      <w:r w:rsidR="009F217F" w:rsidRPr="00371524">
        <w:rPr>
          <w:rFonts w:ascii="Times New Roman" w:hAnsi="Times New Roman" w:cs="Times New Roman"/>
          <w:sz w:val="24"/>
          <w:szCs w:val="24"/>
        </w:rPr>
        <w:t xml:space="preserve">: </w:t>
      </w:r>
    </w:p>
    <w:p w14:paraId="09C1E45B" w14:textId="77777777" w:rsidR="00522E54" w:rsidRPr="00371524" w:rsidRDefault="009F217F" w:rsidP="00522E54">
      <w:pPr>
        <w:pStyle w:val="ListParagraph"/>
        <w:numPr>
          <w:ilvl w:val="0"/>
          <w:numId w:val="3"/>
        </w:numPr>
        <w:spacing w:after="0" w:line="480" w:lineRule="auto"/>
        <w:rPr>
          <w:rFonts w:ascii="Times New Roman" w:hAnsi="Times New Roman" w:cs="Times New Roman"/>
          <w:sz w:val="24"/>
          <w:szCs w:val="24"/>
        </w:rPr>
      </w:pPr>
      <w:r w:rsidRPr="00371524">
        <w:rPr>
          <w:rFonts w:ascii="Times New Roman" w:hAnsi="Times New Roman" w:cs="Times New Roman"/>
          <w:sz w:val="24"/>
          <w:szCs w:val="24"/>
        </w:rPr>
        <w:t xml:space="preserve">“[Defendant] breached its duty of ordinary care in the retention and supervision of [Employee], because [Defendant] knew or should have known about [Employee’s] propensities to secretly photograph or video up skirts.” </w:t>
      </w:r>
    </w:p>
    <w:p w14:paraId="471D9A68" w14:textId="77777777" w:rsidR="00522E54" w:rsidRPr="00371524" w:rsidRDefault="009F217F" w:rsidP="00522E54">
      <w:pPr>
        <w:pStyle w:val="ListParagraph"/>
        <w:numPr>
          <w:ilvl w:val="0"/>
          <w:numId w:val="3"/>
        </w:numPr>
        <w:spacing w:after="0" w:line="480" w:lineRule="auto"/>
        <w:rPr>
          <w:rFonts w:ascii="Times New Roman" w:hAnsi="Times New Roman" w:cs="Times New Roman"/>
          <w:sz w:val="24"/>
          <w:szCs w:val="24"/>
        </w:rPr>
      </w:pPr>
      <w:r w:rsidRPr="00371524">
        <w:rPr>
          <w:rFonts w:ascii="Times New Roman" w:hAnsi="Times New Roman" w:cs="Times New Roman"/>
          <w:sz w:val="24"/>
          <w:szCs w:val="24"/>
        </w:rPr>
        <w:t xml:space="preserve">We answered, “[Defendant] </w:t>
      </w:r>
      <w:r w:rsidR="00B2363A" w:rsidRPr="00371524">
        <w:rPr>
          <w:rFonts w:ascii="Times New Roman" w:hAnsi="Times New Roman" w:cs="Times New Roman"/>
          <w:sz w:val="24"/>
          <w:szCs w:val="24"/>
        </w:rPr>
        <w:t xml:space="preserve">denies said averments and further shows that Plaintiff sets forth a conclusion without pleading any supporting facts nor producing any supporting evidence. If Plaintiff has any such supporting evidence, [Defendant] requests that it be produced immediately so that it can be analyzed.” </w:t>
      </w:r>
    </w:p>
    <w:p w14:paraId="7A3A4005" w14:textId="649057AE" w:rsidR="00141EA3" w:rsidRPr="00371524" w:rsidRDefault="00085DFC" w:rsidP="00522E54">
      <w:pPr>
        <w:spacing w:after="0" w:line="480" w:lineRule="auto"/>
        <w:rPr>
          <w:rFonts w:ascii="Times New Roman" w:hAnsi="Times New Roman" w:cs="Times New Roman"/>
          <w:sz w:val="24"/>
          <w:szCs w:val="24"/>
        </w:rPr>
      </w:pPr>
      <w:r w:rsidRPr="00371524">
        <w:rPr>
          <w:rFonts w:ascii="Times New Roman" w:hAnsi="Times New Roman" w:cs="Times New Roman"/>
          <w:sz w:val="24"/>
          <w:szCs w:val="24"/>
        </w:rPr>
        <w:t xml:space="preserve">Notice how the </w:t>
      </w:r>
      <w:r w:rsidR="001972DC" w:rsidRPr="00371524">
        <w:rPr>
          <w:rFonts w:ascii="Times New Roman" w:hAnsi="Times New Roman" w:cs="Times New Roman"/>
          <w:sz w:val="24"/>
          <w:szCs w:val="24"/>
        </w:rPr>
        <w:t xml:space="preserve">plaintiff’s </w:t>
      </w:r>
      <w:r w:rsidRPr="00371524">
        <w:rPr>
          <w:rFonts w:ascii="Times New Roman" w:hAnsi="Times New Roman" w:cs="Times New Roman"/>
          <w:sz w:val="24"/>
          <w:szCs w:val="24"/>
        </w:rPr>
        <w:t>allegation is a bare legal conclusion.</w:t>
      </w:r>
      <w:r w:rsidR="001972DC" w:rsidRPr="00371524">
        <w:rPr>
          <w:rFonts w:ascii="Times New Roman" w:hAnsi="Times New Roman" w:cs="Times New Roman"/>
          <w:sz w:val="24"/>
          <w:szCs w:val="24"/>
        </w:rPr>
        <w:t xml:space="preserve"> There is no factual suppor</w:t>
      </w:r>
      <w:r w:rsidR="00EC1B5E" w:rsidRPr="00371524">
        <w:rPr>
          <w:rFonts w:ascii="Times New Roman" w:hAnsi="Times New Roman" w:cs="Times New Roman"/>
          <w:sz w:val="24"/>
          <w:szCs w:val="24"/>
        </w:rPr>
        <w:t>t for the plaintiff’s claim</w:t>
      </w:r>
      <w:r w:rsidR="009C5F1C" w:rsidRPr="00371524">
        <w:rPr>
          <w:rFonts w:ascii="Times New Roman" w:hAnsi="Times New Roman" w:cs="Times New Roman"/>
          <w:sz w:val="24"/>
          <w:szCs w:val="24"/>
        </w:rPr>
        <w:t xml:space="preserve"> that the employee had such a propensity or that Defendant should have k</w:t>
      </w:r>
      <w:r w:rsidR="00AD468F" w:rsidRPr="00371524">
        <w:rPr>
          <w:rFonts w:ascii="Times New Roman" w:hAnsi="Times New Roman" w:cs="Times New Roman"/>
          <w:sz w:val="24"/>
          <w:szCs w:val="24"/>
        </w:rPr>
        <w:t>nown about said propensity</w:t>
      </w:r>
      <w:r w:rsidR="009C5F1C" w:rsidRPr="00371524">
        <w:rPr>
          <w:rFonts w:ascii="Times New Roman" w:hAnsi="Times New Roman" w:cs="Times New Roman"/>
          <w:sz w:val="24"/>
          <w:szCs w:val="24"/>
        </w:rPr>
        <w:t xml:space="preserve">. </w:t>
      </w:r>
      <w:r w:rsidR="00880004" w:rsidRPr="00371524">
        <w:rPr>
          <w:rFonts w:ascii="Times New Roman" w:hAnsi="Times New Roman" w:cs="Times New Roman"/>
          <w:sz w:val="24"/>
          <w:szCs w:val="24"/>
        </w:rPr>
        <w:t>This case was not pending in federal court, so we did not have the option to file a motion to dismiss pursuant to</w:t>
      </w:r>
      <w:r w:rsidR="008E6F2C" w:rsidRPr="00371524">
        <w:rPr>
          <w:rFonts w:ascii="Times New Roman" w:hAnsi="Times New Roman" w:cs="Times New Roman"/>
          <w:sz w:val="24"/>
          <w:szCs w:val="24"/>
        </w:rPr>
        <w:t xml:space="preserve"> the </w:t>
      </w:r>
      <w:r w:rsidR="0063281C" w:rsidRPr="00371524">
        <w:rPr>
          <w:rFonts w:ascii="Times New Roman" w:hAnsi="Times New Roman" w:cs="Times New Roman"/>
          <w:sz w:val="24"/>
          <w:szCs w:val="24"/>
        </w:rPr>
        <w:t>more defense-friendly</w:t>
      </w:r>
      <w:r w:rsidR="00247CCC" w:rsidRPr="00371524">
        <w:rPr>
          <w:rFonts w:ascii="Times New Roman" w:hAnsi="Times New Roman" w:cs="Times New Roman"/>
          <w:sz w:val="24"/>
          <w:szCs w:val="24"/>
        </w:rPr>
        <w:t xml:space="preserve"> standards of </w:t>
      </w:r>
      <w:r w:rsidR="00880004" w:rsidRPr="00145054">
        <w:rPr>
          <w:rFonts w:ascii="Times New Roman" w:hAnsi="Times New Roman" w:cs="Times New Roman"/>
          <w:sz w:val="24"/>
          <w:szCs w:val="24"/>
          <w:u w:val="single"/>
        </w:rPr>
        <w:t>Iqbal</w:t>
      </w:r>
      <w:r w:rsidR="00880004" w:rsidRPr="00371524">
        <w:rPr>
          <w:rFonts w:ascii="Times New Roman" w:hAnsi="Times New Roman" w:cs="Times New Roman"/>
          <w:i/>
          <w:sz w:val="24"/>
          <w:szCs w:val="24"/>
        </w:rPr>
        <w:t xml:space="preserve"> </w:t>
      </w:r>
      <w:r w:rsidR="00880004" w:rsidRPr="00371524">
        <w:rPr>
          <w:rFonts w:ascii="Times New Roman" w:hAnsi="Times New Roman" w:cs="Times New Roman"/>
          <w:sz w:val="24"/>
          <w:szCs w:val="24"/>
        </w:rPr>
        <w:t xml:space="preserve">and </w:t>
      </w:r>
      <w:r w:rsidR="00880004" w:rsidRPr="00145054">
        <w:rPr>
          <w:rFonts w:ascii="Times New Roman" w:hAnsi="Times New Roman" w:cs="Times New Roman"/>
          <w:sz w:val="24"/>
          <w:szCs w:val="24"/>
          <w:u w:val="single"/>
        </w:rPr>
        <w:t>Twombly</w:t>
      </w:r>
      <w:r w:rsidR="00D75310" w:rsidRPr="00371524">
        <w:rPr>
          <w:rFonts w:ascii="Times New Roman" w:hAnsi="Times New Roman" w:cs="Times New Roman"/>
          <w:sz w:val="24"/>
          <w:szCs w:val="24"/>
        </w:rPr>
        <w:t xml:space="preserve">. </w:t>
      </w:r>
    </w:p>
    <w:p w14:paraId="4D750495" w14:textId="35C0D757" w:rsidR="00B07420" w:rsidRPr="00371524" w:rsidRDefault="00141EA3" w:rsidP="005666D0">
      <w:pPr>
        <w:spacing w:after="0" w:line="480" w:lineRule="auto"/>
        <w:rPr>
          <w:rFonts w:ascii="Times New Roman" w:hAnsi="Times New Roman" w:cs="Times New Roman"/>
          <w:sz w:val="24"/>
          <w:szCs w:val="24"/>
        </w:rPr>
      </w:pPr>
      <w:r w:rsidRPr="00371524">
        <w:rPr>
          <w:rFonts w:ascii="Times New Roman" w:hAnsi="Times New Roman" w:cs="Times New Roman"/>
          <w:sz w:val="24"/>
          <w:szCs w:val="24"/>
        </w:rPr>
        <w:tab/>
      </w:r>
      <w:r w:rsidR="00023EDA" w:rsidRPr="00371524">
        <w:rPr>
          <w:rFonts w:ascii="Times New Roman" w:hAnsi="Times New Roman" w:cs="Times New Roman"/>
          <w:sz w:val="24"/>
          <w:szCs w:val="24"/>
        </w:rPr>
        <w:t xml:space="preserve">Second, look for </w:t>
      </w:r>
      <w:r w:rsidR="00085DFC" w:rsidRPr="00371524">
        <w:rPr>
          <w:rFonts w:ascii="Times New Roman" w:hAnsi="Times New Roman" w:cs="Times New Roman"/>
          <w:sz w:val="24"/>
          <w:szCs w:val="24"/>
        </w:rPr>
        <w:t>Reptile plaintiff</w:t>
      </w:r>
      <w:r w:rsidR="001972DC" w:rsidRPr="00371524">
        <w:rPr>
          <w:rFonts w:ascii="Times New Roman" w:hAnsi="Times New Roman" w:cs="Times New Roman"/>
          <w:sz w:val="24"/>
          <w:szCs w:val="24"/>
        </w:rPr>
        <w:t xml:space="preserve"> attorneys to allege salacious </w:t>
      </w:r>
      <w:r w:rsidR="00023EDA" w:rsidRPr="00371524">
        <w:rPr>
          <w:rFonts w:ascii="Times New Roman" w:hAnsi="Times New Roman" w:cs="Times New Roman"/>
          <w:sz w:val="24"/>
          <w:szCs w:val="24"/>
        </w:rPr>
        <w:t>facts</w:t>
      </w:r>
      <w:r w:rsidR="001972DC" w:rsidRPr="00371524">
        <w:rPr>
          <w:rFonts w:ascii="Times New Roman" w:hAnsi="Times New Roman" w:cs="Times New Roman"/>
          <w:sz w:val="24"/>
          <w:szCs w:val="24"/>
        </w:rPr>
        <w:t xml:space="preserve">. Although this tactic does not rely on the use of safety rules, it is a common practice among Reptile plaintiff attorneys to assert </w:t>
      </w:r>
      <w:r w:rsidR="00EC3B34" w:rsidRPr="00371524">
        <w:rPr>
          <w:rFonts w:ascii="Times New Roman" w:hAnsi="Times New Roman" w:cs="Times New Roman"/>
          <w:sz w:val="24"/>
          <w:szCs w:val="24"/>
        </w:rPr>
        <w:t xml:space="preserve">slanted </w:t>
      </w:r>
      <w:r w:rsidR="001972DC" w:rsidRPr="00371524">
        <w:rPr>
          <w:rFonts w:ascii="Times New Roman" w:hAnsi="Times New Roman" w:cs="Times New Roman"/>
          <w:sz w:val="24"/>
          <w:szCs w:val="24"/>
        </w:rPr>
        <w:t xml:space="preserve">facts </w:t>
      </w:r>
      <w:r w:rsidR="001D7877" w:rsidRPr="00371524">
        <w:rPr>
          <w:rFonts w:ascii="Times New Roman" w:hAnsi="Times New Roman" w:cs="Times New Roman"/>
          <w:sz w:val="24"/>
          <w:szCs w:val="24"/>
        </w:rPr>
        <w:t>that are devoid of context.</w:t>
      </w:r>
      <w:r w:rsidR="001972DC" w:rsidRPr="00371524">
        <w:rPr>
          <w:rFonts w:ascii="Times New Roman" w:hAnsi="Times New Roman" w:cs="Times New Roman"/>
          <w:sz w:val="24"/>
          <w:szCs w:val="24"/>
        </w:rPr>
        <w:t xml:space="preserve"> </w:t>
      </w:r>
      <w:r w:rsidR="00085DFC" w:rsidRPr="00371524">
        <w:rPr>
          <w:rFonts w:ascii="Times New Roman" w:hAnsi="Times New Roman" w:cs="Times New Roman"/>
          <w:sz w:val="24"/>
          <w:szCs w:val="24"/>
        </w:rPr>
        <w:t xml:space="preserve">The motivation in doing this is clear: Reptile </w:t>
      </w:r>
      <w:r w:rsidR="00085DFC" w:rsidRPr="00371524">
        <w:rPr>
          <w:rFonts w:ascii="Times New Roman" w:hAnsi="Times New Roman" w:cs="Times New Roman"/>
          <w:sz w:val="24"/>
          <w:szCs w:val="24"/>
        </w:rPr>
        <w:lastRenderedPageBreak/>
        <w:t>plaintiff attorneys intentionally draft all pleadings and discovery with one audience in mind: the jury. They want to defame your client with scandalous</w:t>
      </w:r>
      <w:r w:rsidR="001D7877" w:rsidRPr="00371524">
        <w:rPr>
          <w:rFonts w:ascii="Times New Roman" w:hAnsi="Times New Roman" w:cs="Times New Roman"/>
          <w:sz w:val="24"/>
          <w:szCs w:val="24"/>
        </w:rPr>
        <w:t xml:space="preserve"> assertions </w:t>
      </w:r>
      <w:r w:rsidR="00984514" w:rsidRPr="00371524">
        <w:rPr>
          <w:rFonts w:ascii="Times New Roman" w:hAnsi="Times New Roman" w:cs="Times New Roman"/>
          <w:sz w:val="24"/>
          <w:szCs w:val="24"/>
        </w:rPr>
        <w:t xml:space="preserve">in order to awaken the </w:t>
      </w:r>
      <w:r w:rsidR="001D7877" w:rsidRPr="00371524">
        <w:rPr>
          <w:rFonts w:ascii="Times New Roman" w:hAnsi="Times New Roman" w:cs="Times New Roman"/>
          <w:sz w:val="24"/>
          <w:szCs w:val="24"/>
        </w:rPr>
        <w:t>collective reptilian brain</w:t>
      </w:r>
      <w:r w:rsidR="00984514" w:rsidRPr="00371524">
        <w:rPr>
          <w:rFonts w:ascii="Times New Roman" w:hAnsi="Times New Roman" w:cs="Times New Roman"/>
          <w:sz w:val="24"/>
          <w:szCs w:val="24"/>
        </w:rPr>
        <w:t xml:space="preserve"> of the jury</w:t>
      </w:r>
      <w:r w:rsidR="001D7877" w:rsidRPr="00371524">
        <w:rPr>
          <w:rFonts w:ascii="Times New Roman" w:hAnsi="Times New Roman" w:cs="Times New Roman"/>
          <w:sz w:val="24"/>
          <w:szCs w:val="24"/>
        </w:rPr>
        <w:t>.</w:t>
      </w:r>
      <w:r w:rsidR="00085DFC" w:rsidRPr="00371524">
        <w:rPr>
          <w:rFonts w:ascii="Times New Roman" w:hAnsi="Times New Roman" w:cs="Times New Roman"/>
          <w:sz w:val="24"/>
          <w:szCs w:val="24"/>
        </w:rPr>
        <w:t xml:space="preserve"> </w:t>
      </w:r>
      <w:r w:rsidR="00D906BE" w:rsidRPr="00371524">
        <w:rPr>
          <w:rFonts w:ascii="Times New Roman" w:hAnsi="Times New Roman" w:cs="Times New Roman"/>
          <w:sz w:val="24"/>
          <w:szCs w:val="24"/>
        </w:rPr>
        <w:t>For example, i</w:t>
      </w:r>
      <w:r w:rsidR="007C2C0A" w:rsidRPr="00371524">
        <w:rPr>
          <w:rFonts w:ascii="Times New Roman" w:hAnsi="Times New Roman" w:cs="Times New Roman"/>
          <w:sz w:val="24"/>
          <w:szCs w:val="24"/>
        </w:rPr>
        <w:t xml:space="preserve">n the same </w:t>
      </w:r>
      <w:r w:rsidR="002C7A1C" w:rsidRPr="00371524">
        <w:rPr>
          <w:rFonts w:ascii="Times New Roman" w:hAnsi="Times New Roman" w:cs="Times New Roman"/>
          <w:sz w:val="24"/>
          <w:szCs w:val="24"/>
        </w:rPr>
        <w:t xml:space="preserve">photograph </w:t>
      </w:r>
      <w:r w:rsidR="007C2C0A" w:rsidRPr="00371524">
        <w:rPr>
          <w:rFonts w:ascii="Times New Roman" w:hAnsi="Times New Roman" w:cs="Times New Roman"/>
          <w:sz w:val="24"/>
          <w:szCs w:val="24"/>
        </w:rPr>
        <w:t>case, t</w:t>
      </w:r>
      <w:r w:rsidR="009F33DD" w:rsidRPr="00371524">
        <w:rPr>
          <w:rFonts w:ascii="Times New Roman" w:hAnsi="Times New Roman" w:cs="Times New Roman"/>
          <w:sz w:val="24"/>
          <w:szCs w:val="24"/>
        </w:rPr>
        <w:t xml:space="preserve">he plaintiff made the following allegation: </w:t>
      </w:r>
    </w:p>
    <w:p w14:paraId="1A469150" w14:textId="77777777" w:rsidR="00B07420" w:rsidRPr="00371524" w:rsidRDefault="009F33DD" w:rsidP="00B07420">
      <w:pPr>
        <w:pStyle w:val="ListParagraph"/>
        <w:numPr>
          <w:ilvl w:val="0"/>
          <w:numId w:val="4"/>
        </w:numPr>
        <w:spacing w:after="0" w:line="480" w:lineRule="auto"/>
        <w:rPr>
          <w:rFonts w:ascii="Times New Roman" w:hAnsi="Times New Roman" w:cs="Times New Roman"/>
          <w:sz w:val="24"/>
          <w:szCs w:val="24"/>
        </w:rPr>
      </w:pPr>
      <w:r w:rsidRPr="00371524">
        <w:rPr>
          <w:rFonts w:ascii="Times New Roman" w:hAnsi="Times New Roman" w:cs="Times New Roman"/>
          <w:sz w:val="24"/>
          <w:szCs w:val="24"/>
        </w:rPr>
        <w:t>“</w:t>
      </w:r>
      <w:r w:rsidR="00665D30" w:rsidRPr="00371524">
        <w:rPr>
          <w:rFonts w:ascii="Times New Roman" w:hAnsi="Times New Roman" w:cs="Times New Roman"/>
          <w:sz w:val="24"/>
          <w:szCs w:val="24"/>
        </w:rPr>
        <w:t>[Defendant], an employee of [</w:t>
      </w:r>
      <w:r w:rsidR="00D906BE" w:rsidRPr="00371524">
        <w:rPr>
          <w:rFonts w:ascii="Times New Roman" w:hAnsi="Times New Roman" w:cs="Times New Roman"/>
          <w:sz w:val="24"/>
          <w:szCs w:val="24"/>
        </w:rPr>
        <w:t xml:space="preserve">Defendant], used his cell phone to photograph or video up the skirt of [Plaintiff].” </w:t>
      </w:r>
    </w:p>
    <w:p w14:paraId="13D4AB30" w14:textId="01880815" w:rsidR="005666D0" w:rsidRPr="00371524" w:rsidRDefault="00D906BE" w:rsidP="005666D0">
      <w:pPr>
        <w:pStyle w:val="ListParagraph"/>
        <w:numPr>
          <w:ilvl w:val="0"/>
          <w:numId w:val="4"/>
        </w:numPr>
        <w:spacing w:after="0" w:line="480" w:lineRule="auto"/>
        <w:rPr>
          <w:rFonts w:ascii="Times New Roman" w:hAnsi="Times New Roman" w:cs="Times New Roman"/>
          <w:sz w:val="24"/>
          <w:szCs w:val="24"/>
        </w:rPr>
      </w:pPr>
      <w:r w:rsidRPr="00371524">
        <w:rPr>
          <w:rFonts w:ascii="Times New Roman" w:hAnsi="Times New Roman" w:cs="Times New Roman"/>
          <w:sz w:val="24"/>
          <w:szCs w:val="24"/>
        </w:rPr>
        <w:t>We responded with the following facts: “The incident occurred</w:t>
      </w:r>
      <w:r w:rsidR="004222C7" w:rsidRPr="00371524">
        <w:rPr>
          <w:rFonts w:ascii="Times New Roman" w:hAnsi="Times New Roman" w:cs="Times New Roman"/>
          <w:sz w:val="24"/>
          <w:szCs w:val="24"/>
        </w:rPr>
        <w:t xml:space="preserve"> on [Date] inside [Defendant’s S</w:t>
      </w:r>
      <w:r w:rsidRPr="00371524">
        <w:rPr>
          <w:rFonts w:ascii="Times New Roman" w:hAnsi="Times New Roman" w:cs="Times New Roman"/>
          <w:sz w:val="24"/>
          <w:szCs w:val="24"/>
        </w:rPr>
        <w:t>tore] located at [Address]. The plaintiff shopper reported that</w:t>
      </w:r>
      <w:r w:rsidR="00665D30" w:rsidRPr="00371524">
        <w:rPr>
          <w:rFonts w:ascii="Times New Roman" w:hAnsi="Times New Roman" w:cs="Times New Roman"/>
          <w:sz w:val="24"/>
          <w:szCs w:val="24"/>
        </w:rPr>
        <w:t xml:space="preserve"> [Defendant E</w:t>
      </w:r>
      <w:r w:rsidRPr="00371524">
        <w:rPr>
          <w:rFonts w:ascii="Times New Roman" w:hAnsi="Times New Roman" w:cs="Times New Roman"/>
          <w:sz w:val="24"/>
          <w:szCs w:val="24"/>
        </w:rPr>
        <w:t>mployee</w:t>
      </w:r>
      <w:r w:rsidR="00665D30" w:rsidRPr="00371524">
        <w:rPr>
          <w:rFonts w:ascii="Times New Roman" w:hAnsi="Times New Roman" w:cs="Times New Roman"/>
          <w:sz w:val="24"/>
          <w:szCs w:val="24"/>
        </w:rPr>
        <w:t>]</w:t>
      </w:r>
      <w:r w:rsidRPr="00371524">
        <w:rPr>
          <w:rFonts w:ascii="Times New Roman" w:hAnsi="Times New Roman" w:cs="Times New Roman"/>
          <w:sz w:val="24"/>
          <w:szCs w:val="24"/>
        </w:rPr>
        <w:t xml:space="preserve"> was taking pictures up her dress and she began yelling, then punching, kicking and pushing this person to the floor. The incident occurred during a day and time wherein this</w:t>
      </w:r>
      <w:r w:rsidR="005C7A58" w:rsidRPr="00371524">
        <w:rPr>
          <w:rFonts w:ascii="Times New Roman" w:hAnsi="Times New Roman" w:cs="Times New Roman"/>
          <w:sz w:val="24"/>
          <w:szCs w:val="24"/>
        </w:rPr>
        <w:t xml:space="preserve"> [Defendant Employee] </w:t>
      </w:r>
      <w:r w:rsidR="00EC0607" w:rsidRPr="00371524">
        <w:rPr>
          <w:rFonts w:ascii="Times New Roman" w:hAnsi="Times New Roman" w:cs="Times New Roman"/>
          <w:sz w:val="24"/>
          <w:szCs w:val="24"/>
        </w:rPr>
        <w:t>was to be</w:t>
      </w:r>
      <w:r w:rsidR="00C04A3F" w:rsidRPr="00371524">
        <w:rPr>
          <w:rFonts w:ascii="Times New Roman" w:hAnsi="Times New Roman" w:cs="Times New Roman"/>
          <w:sz w:val="24"/>
          <w:szCs w:val="24"/>
        </w:rPr>
        <w:t xml:space="preserve"> working at the pharmacy </w:t>
      </w:r>
      <w:r w:rsidR="00EC0607" w:rsidRPr="00371524">
        <w:rPr>
          <w:rFonts w:ascii="Times New Roman" w:hAnsi="Times New Roman" w:cs="Times New Roman"/>
          <w:sz w:val="24"/>
          <w:szCs w:val="24"/>
        </w:rPr>
        <w:t>inside the [</w:t>
      </w:r>
      <w:r w:rsidR="003857E4" w:rsidRPr="00371524">
        <w:rPr>
          <w:rFonts w:ascii="Times New Roman" w:hAnsi="Times New Roman" w:cs="Times New Roman"/>
          <w:sz w:val="24"/>
          <w:szCs w:val="24"/>
        </w:rPr>
        <w:t>Defendant S</w:t>
      </w:r>
      <w:r w:rsidR="00EC0607" w:rsidRPr="00371524">
        <w:rPr>
          <w:rFonts w:ascii="Times New Roman" w:hAnsi="Times New Roman" w:cs="Times New Roman"/>
          <w:sz w:val="24"/>
          <w:szCs w:val="24"/>
        </w:rPr>
        <w:t>tore]. The employee was arrested, charged and pled guilty to felony eavesdropping/surveillance, and the employee resigned his position at [</w:t>
      </w:r>
      <w:r w:rsidR="00234BA6" w:rsidRPr="00371524">
        <w:rPr>
          <w:rFonts w:ascii="Times New Roman" w:hAnsi="Times New Roman" w:cs="Times New Roman"/>
          <w:sz w:val="24"/>
          <w:szCs w:val="24"/>
        </w:rPr>
        <w:t>Defendant S</w:t>
      </w:r>
      <w:r w:rsidR="00EC0607" w:rsidRPr="00371524">
        <w:rPr>
          <w:rFonts w:ascii="Times New Roman" w:hAnsi="Times New Roman" w:cs="Times New Roman"/>
          <w:sz w:val="24"/>
          <w:szCs w:val="24"/>
        </w:rPr>
        <w:t xml:space="preserve">tore].” </w:t>
      </w:r>
    </w:p>
    <w:p w14:paraId="680FF23A" w14:textId="14176ADB" w:rsidR="00085DFC" w:rsidRDefault="00AC22B8" w:rsidP="002C01D4">
      <w:pPr>
        <w:spacing w:after="0" w:line="480" w:lineRule="auto"/>
        <w:rPr>
          <w:rFonts w:ascii="Times New Roman" w:hAnsi="Times New Roman" w:cs="Times New Roman"/>
          <w:sz w:val="24"/>
          <w:szCs w:val="24"/>
        </w:rPr>
      </w:pPr>
      <w:r w:rsidRPr="00371524">
        <w:rPr>
          <w:rFonts w:ascii="Times New Roman" w:hAnsi="Times New Roman" w:cs="Times New Roman"/>
          <w:sz w:val="24"/>
          <w:szCs w:val="24"/>
        </w:rPr>
        <w:t xml:space="preserve">Here, our strategy was to show </w:t>
      </w:r>
      <w:r w:rsidR="00C245D0" w:rsidRPr="00371524">
        <w:rPr>
          <w:rFonts w:ascii="Times New Roman" w:hAnsi="Times New Roman" w:cs="Times New Roman"/>
          <w:sz w:val="24"/>
          <w:szCs w:val="24"/>
        </w:rPr>
        <w:t>that the employee was not acting within the course and</w:t>
      </w:r>
      <w:r w:rsidRPr="00371524">
        <w:rPr>
          <w:rFonts w:ascii="Times New Roman" w:hAnsi="Times New Roman" w:cs="Times New Roman"/>
          <w:sz w:val="24"/>
          <w:szCs w:val="24"/>
        </w:rPr>
        <w:t xml:space="preserve"> scope of his employment and that the</w:t>
      </w:r>
      <w:r w:rsidR="00C245D0" w:rsidRPr="00371524">
        <w:rPr>
          <w:rFonts w:ascii="Times New Roman" w:hAnsi="Times New Roman" w:cs="Times New Roman"/>
          <w:sz w:val="24"/>
          <w:szCs w:val="24"/>
        </w:rPr>
        <w:t xml:space="preserve"> criminal justice system, as wel</w:t>
      </w:r>
      <w:r w:rsidR="003C495B" w:rsidRPr="00371524">
        <w:rPr>
          <w:rFonts w:ascii="Times New Roman" w:hAnsi="Times New Roman" w:cs="Times New Roman"/>
          <w:sz w:val="24"/>
          <w:szCs w:val="24"/>
        </w:rPr>
        <w:t>l as the plaintiff, punished the employee</w:t>
      </w:r>
      <w:r w:rsidR="00C245D0" w:rsidRPr="00371524">
        <w:rPr>
          <w:rFonts w:ascii="Times New Roman" w:hAnsi="Times New Roman" w:cs="Times New Roman"/>
          <w:sz w:val="24"/>
          <w:szCs w:val="24"/>
        </w:rPr>
        <w:t>. We also wanted to show that this employee no longer works for our client and th</w:t>
      </w:r>
      <w:r w:rsidR="006F2EFD" w:rsidRPr="00371524">
        <w:rPr>
          <w:rFonts w:ascii="Times New Roman" w:hAnsi="Times New Roman" w:cs="Times New Roman"/>
          <w:sz w:val="24"/>
          <w:szCs w:val="24"/>
        </w:rPr>
        <w:t>at our client would not retain</w:t>
      </w:r>
      <w:r w:rsidR="00C245D0" w:rsidRPr="00371524">
        <w:rPr>
          <w:rFonts w:ascii="Times New Roman" w:hAnsi="Times New Roman" w:cs="Times New Roman"/>
          <w:sz w:val="24"/>
          <w:szCs w:val="24"/>
        </w:rPr>
        <w:t xml:space="preserve"> </w:t>
      </w:r>
      <w:r w:rsidR="006F2EFD" w:rsidRPr="00371524">
        <w:rPr>
          <w:rFonts w:ascii="Times New Roman" w:hAnsi="Times New Roman" w:cs="Times New Roman"/>
          <w:sz w:val="24"/>
          <w:szCs w:val="24"/>
        </w:rPr>
        <w:t xml:space="preserve">such </w:t>
      </w:r>
      <w:r w:rsidR="00C245D0" w:rsidRPr="00371524">
        <w:rPr>
          <w:rFonts w:ascii="Times New Roman" w:hAnsi="Times New Roman" w:cs="Times New Roman"/>
          <w:sz w:val="24"/>
          <w:szCs w:val="24"/>
        </w:rPr>
        <w:t xml:space="preserve">an employee. </w:t>
      </w:r>
    </w:p>
    <w:p w14:paraId="109C8DC4" w14:textId="77777777" w:rsidR="00E712C0" w:rsidRDefault="00E712C0" w:rsidP="002C01D4">
      <w:pPr>
        <w:spacing w:after="0" w:line="480" w:lineRule="auto"/>
        <w:rPr>
          <w:rFonts w:ascii="Times New Roman" w:hAnsi="Times New Roman" w:cs="Times New Roman"/>
          <w:sz w:val="24"/>
          <w:szCs w:val="24"/>
        </w:rPr>
      </w:pPr>
    </w:p>
    <w:p w14:paraId="60F73F9D" w14:textId="77777777" w:rsidR="00E712C0" w:rsidRDefault="00E712C0" w:rsidP="002C01D4">
      <w:pPr>
        <w:spacing w:after="0" w:line="480" w:lineRule="auto"/>
        <w:rPr>
          <w:rFonts w:ascii="Times New Roman" w:hAnsi="Times New Roman" w:cs="Times New Roman"/>
          <w:sz w:val="24"/>
          <w:szCs w:val="24"/>
        </w:rPr>
      </w:pPr>
    </w:p>
    <w:p w14:paraId="085058B5" w14:textId="77777777" w:rsidR="00E712C0" w:rsidRDefault="00E712C0" w:rsidP="002C01D4">
      <w:pPr>
        <w:spacing w:after="0" w:line="480" w:lineRule="auto"/>
        <w:rPr>
          <w:rFonts w:ascii="Times New Roman" w:hAnsi="Times New Roman" w:cs="Times New Roman"/>
          <w:sz w:val="24"/>
          <w:szCs w:val="24"/>
        </w:rPr>
      </w:pPr>
    </w:p>
    <w:p w14:paraId="74CE0965" w14:textId="1A289E78" w:rsidR="00937939" w:rsidRPr="00371524" w:rsidRDefault="00455B4A" w:rsidP="00937939">
      <w:pPr>
        <w:pStyle w:val="ListParagraph"/>
        <w:numPr>
          <w:ilvl w:val="0"/>
          <w:numId w:val="2"/>
        </w:numPr>
        <w:spacing w:line="480" w:lineRule="auto"/>
        <w:rPr>
          <w:rFonts w:ascii="Times New Roman" w:hAnsi="Times New Roman" w:cs="Times New Roman"/>
          <w:b/>
          <w:sz w:val="24"/>
          <w:szCs w:val="24"/>
        </w:rPr>
      </w:pPr>
      <w:r w:rsidRPr="00371524">
        <w:rPr>
          <w:rFonts w:ascii="Times New Roman" w:hAnsi="Times New Roman" w:cs="Times New Roman"/>
          <w:b/>
          <w:sz w:val="24"/>
          <w:szCs w:val="24"/>
        </w:rPr>
        <w:t xml:space="preserve">Answer reptile interrogatories with </w:t>
      </w:r>
      <w:r w:rsidR="00286AE7" w:rsidRPr="00371524">
        <w:rPr>
          <w:rFonts w:ascii="Times New Roman" w:hAnsi="Times New Roman" w:cs="Times New Roman"/>
          <w:b/>
          <w:sz w:val="24"/>
          <w:szCs w:val="24"/>
        </w:rPr>
        <w:t xml:space="preserve">the </w:t>
      </w:r>
      <w:r w:rsidRPr="00371524">
        <w:rPr>
          <w:rFonts w:ascii="Times New Roman" w:hAnsi="Times New Roman" w:cs="Times New Roman"/>
          <w:b/>
          <w:sz w:val="24"/>
          <w:szCs w:val="24"/>
        </w:rPr>
        <w:t xml:space="preserve">facts and context </w:t>
      </w:r>
      <w:r w:rsidR="00286AE7" w:rsidRPr="00371524">
        <w:rPr>
          <w:rFonts w:ascii="Times New Roman" w:hAnsi="Times New Roman" w:cs="Times New Roman"/>
          <w:b/>
          <w:sz w:val="24"/>
          <w:szCs w:val="24"/>
        </w:rPr>
        <w:t>that support your client’</w:t>
      </w:r>
      <w:r w:rsidR="0000704E" w:rsidRPr="00371524">
        <w:rPr>
          <w:rFonts w:ascii="Times New Roman" w:hAnsi="Times New Roman" w:cs="Times New Roman"/>
          <w:b/>
          <w:sz w:val="24"/>
          <w:szCs w:val="24"/>
        </w:rPr>
        <w:t>s case</w:t>
      </w:r>
      <w:r w:rsidR="00286AE7" w:rsidRPr="00371524">
        <w:rPr>
          <w:rFonts w:ascii="Times New Roman" w:hAnsi="Times New Roman" w:cs="Times New Roman"/>
          <w:b/>
          <w:sz w:val="24"/>
          <w:szCs w:val="24"/>
        </w:rPr>
        <w:t xml:space="preserve">. </w:t>
      </w:r>
    </w:p>
    <w:p w14:paraId="043A92EA" w14:textId="5FC03CD9" w:rsidR="00D00B28" w:rsidRPr="00371524" w:rsidRDefault="00937939" w:rsidP="00FF16B3">
      <w:pPr>
        <w:spacing w:after="0" w:line="480" w:lineRule="auto"/>
        <w:ind w:firstLine="720"/>
        <w:rPr>
          <w:rFonts w:ascii="Times New Roman" w:hAnsi="Times New Roman" w:cs="Times New Roman"/>
          <w:sz w:val="24"/>
          <w:szCs w:val="24"/>
        </w:rPr>
      </w:pPr>
      <w:r w:rsidRPr="00371524">
        <w:rPr>
          <w:rFonts w:ascii="Times New Roman" w:hAnsi="Times New Roman" w:cs="Times New Roman"/>
          <w:sz w:val="24"/>
          <w:szCs w:val="24"/>
        </w:rPr>
        <w:t>With interrogatories, we employ the same strategy as we do when answering complaints. We answer truthfully</w:t>
      </w:r>
      <w:r w:rsidR="0095426C" w:rsidRPr="00371524">
        <w:rPr>
          <w:rFonts w:ascii="Times New Roman" w:hAnsi="Times New Roman" w:cs="Times New Roman"/>
          <w:sz w:val="24"/>
          <w:szCs w:val="24"/>
        </w:rPr>
        <w:t xml:space="preserve"> with facts and context</w:t>
      </w:r>
      <w:r w:rsidR="00122F8D" w:rsidRPr="00371524">
        <w:rPr>
          <w:rFonts w:ascii="Times New Roman" w:hAnsi="Times New Roman" w:cs="Times New Roman"/>
          <w:sz w:val="24"/>
          <w:szCs w:val="24"/>
        </w:rPr>
        <w:t xml:space="preserve"> that support our case</w:t>
      </w:r>
      <w:r w:rsidR="0095426C" w:rsidRPr="00371524">
        <w:rPr>
          <w:rFonts w:ascii="Times New Roman" w:hAnsi="Times New Roman" w:cs="Times New Roman"/>
          <w:sz w:val="24"/>
          <w:szCs w:val="24"/>
        </w:rPr>
        <w:t xml:space="preserve">. </w:t>
      </w:r>
      <w:r w:rsidRPr="00371524">
        <w:rPr>
          <w:rFonts w:ascii="Times New Roman" w:hAnsi="Times New Roman" w:cs="Times New Roman"/>
          <w:sz w:val="24"/>
          <w:szCs w:val="24"/>
        </w:rPr>
        <w:t>Reptile plaintiff attorneys</w:t>
      </w:r>
      <w:r w:rsidR="002D565D" w:rsidRPr="00371524">
        <w:rPr>
          <w:rFonts w:ascii="Times New Roman" w:hAnsi="Times New Roman" w:cs="Times New Roman"/>
          <w:sz w:val="24"/>
          <w:szCs w:val="24"/>
        </w:rPr>
        <w:t xml:space="preserve"> will </w:t>
      </w:r>
      <w:r w:rsidR="002D565D" w:rsidRPr="00371524">
        <w:rPr>
          <w:rFonts w:ascii="Times New Roman" w:hAnsi="Times New Roman" w:cs="Times New Roman"/>
          <w:sz w:val="24"/>
          <w:szCs w:val="24"/>
        </w:rPr>
        <w:lastRenderedPageBreak/>
        <w:t xml:space="preserve">never mention </w:t>
      </w:r>
      <w:r w:rsidRPr="00371524">
        <w:rPr>
          <w:rFonts w:ascii="Times New Roman" w:hAnsi="Times New Roman" w:cs="Times New Roman"/>
          <w:sz w:val="24"/>
          <w:szCs w:val="24"/>
        </w:rPr>
        <w:t>facts</w:t>
      </w:r>
      <w:r w:rsidR="002D565D" w:rsidRPr="00371524">
        <w:rPr>
          <w:rFonts w:ascii="Times New Roman" w:hAnsi="Times New Roman" w:cs="Times New Roman"/>
          <w:sz w:val="24"/>
          <w:szCs w:val="24"/>
        </w:rPr>
        <w:t xml:space="preserve"> that are unfavorable to their case</w:t>
      </w:r>
      <w:r w:rsidR="00B0226B" w:rsidRPr="00371524">
        <w:rPr>
          <w:rFonts w:ascii="Times New Roman" w:hAnsi="Times New Roman" w:cs="Times New Roman"/>
          <w:sz w:val="24"/>
          <w:szCs w:val="24"/>
        </w:rPr>
        <w:t>, so it is important that you</w:t>
      </w:r>
      <w:r w:rsidRPr="00371524">
        <w:rPr>
          <w:rFonts w:ascii="Times New Roman" w:hAnsi="Times New Roman" w:cs="Times New Roman"/>
          <w:sz w:val="24"/>
          <w:szCs w:val="24"/>
        </w:rPr>
        <w:t xml:space="preserve"> </w:t>
      </w:r>
      <w:r w:rsidR="001F2587" w:rsidRPr="00371524">
        <w:rPr>
          <w:rFonts w:ascii="Times New Roman" w:hAnsi="Times New Roman" w:cs="Times New Roman"/>
          <w:sz w:val="24"/>
          <w:szCs w:val="24"/>
        </w:rPr>
        <w:t xml:space="preserve">do this. </w:t>
      </w:r>
      <w:r w:rsidRPr="00371524">
        <w:rPr>
          <w:rFonts w:ascii="Times New Roman" w:hAnsi="Times New Roman" w:cs="Times New Roman"/>
          <w:sz w:val="24"/>
          <w:szCs w:val="24"/>
        </w:rPr>
        <w:t xml:space="preserve">For example, in a premises liability shooting case, we received the following interrogatory: </w:t>
      </w:r>
    </w:p>
    <w:p w14:paraId="4D458C38" w14:textId="77777777" w:rsidR="00E71500" w:rsidRPr="00371524" w:rsidRDefault="00937939" w:rsidP="00D00B28">
      <w:pPr>
        <w:pStyle w:val="ListParagraph"/>
        <w:numPr>
          <w:ilvl w:val="0"/>
          <w:numId w:val="6"/>
        </w:numPr>
        <w:spacing w:after="0" w:line="480" w:lineRule="auto"/>
        <w:rPr>
          <w:rFonts w:ascii="Times New Roman" w:hAnsi="Times New Roman" w:cs="Times New Roman"/>
          <w:sz w:val="24"/>
          <w:szCs w:val="24"/>
        </w:rPr>
      </w:pPr>
      <w:r w:rsidRPr="00371524">
        <w:rPr>
          <w:rFonts w:ascii="Times New Roman" w:hAnsi="Times New Roman" w:cs="Times New Roman"/>
          <w:sz w:val="24"/>
          <w:szCs w:val="24"/>
        </w:rPr>
        <w:t xml:space="preserve">“Please describe each and every warning that you claim was provided to [Plaintiff] regarding any danger associated with the premises or vicinity of the premises, either [Premises 1] or [Premises 2].” </w:t>
      </w:r>
    </w:p>
    <w:p w14:paraId="3C24E52F" w14:textId="5288D3E9" w:rsidR="00C245D0" w:rsidRPr="00371524" w:rsidRDefault="00937939" w:rsidP="006A1946">
      <w:pPr>
        <w:pStyle w:val="ListParagraph"/>
        <w:numPr>
          <w:ilvl w:val="0"/>
          <w:numId w:val="6"/>
        </w:numPr>
        <w:spacing w:after="0" w:line="480" w:lineRule="auto"/>
        <w:rPr>
          <w:rFonts w:ascii="Times New Roman" w:hAnsi="Times New Roman" w:cs="Times New Roman"/>
          <w:sz w:val="24"/>
          <w:szCs w:val="24"/>
        </w:rPr>
      </w:pPr>
      <w:r w:rsidRPr="00371524">
        <w:rPr>
          <w:rFonts w:ascii="Times New Roman" w:hAnsi="Times New Roman" w:cs="Times New Roman"/>
          <w:sz w:val="24"/>
          <w:szCs w:val="24"/>
        </w:rPr>
        <w:t>In response, and after making objections, we stu</w:t>
      </w:r>
      <w:r w:rsidR="00090B3A" w:rsidRPr="00371524">
        <w:rPr>
          <w:rFonts w:ascii="Times New Roman" w:hAnsi="Times New Roman" w:cs="Times New Roman"/>
          <w:sz w:val="24"/>
          <w:szCs w:val="24"/>
        </w:rPr>
        <w:t xml:space="preserve">ck to the facts: “Defendant . . . </w:t>
      </w:r>
      <w:r w:rsidRPr="00371524">
        <w:rPr>
          <w:rFonts w:ascii="Times New Roman" w:hAnsi="Times New Roman" w:cs="Times New Roman"/>
          <w:sz w:val="24"/>
          <w:szCs w:val="24"/>
        </w:rPr>
        <w:t>objects to this Interrogatory on the grounds and to the extent that it is worded to suggest that Defendant knew or should have known that Plaintiff would engage in a verbal altercation with [Non-Party], or that Plaintiff provoking an altercation with [Non-Party] would result in [Non-Party] shooting Pla</w:t>
      </w:r>
      <w:r w:rsidR="006A1946" w:rsidRPr="00371524">
        <w:rPr>
          <w:rFonts w:ascii="Times New Roman" w:hAnsi="Times New Roman" w:cs="Times New Roman"/>
          <w:sz w:val="24"/>
          <w:szCs w:val="24"/>
        </w:rPr>
        <w:t xml:space="preserve">intiff.” We also instructed plaintiff’s counsel to review the incident report and video of the incident. Both pieces of evidence supported our story that the plaintiff started a fight with the wrong person and was shot as a result. </w:t>
      </w:r>
      <w:r w:rsidRPr="00371524">
        <w:rPr>
          <w:rFonts w:ascii="Times New Roman" w:hAnsi="Times New Roman" w:cs="Times New Roman"/>
          <w:sz w:val="24"/>
          <w:szCs w:val="24"/>
        </w:rPr>
        <w:t xml:space="preserve"> </w:t>
      </w:r>
    </w:p>
    <w:p w14:paraId="1888B981" w14:textId="234C3553" w:rsidR="006A1946" w:rsidRPr="00371524" w:rsidRDefault="006A1946" w:rsidP="000357EF">
      <w:pPr>
        <w:spacing w:after="0" w:line="480" w:lineRule="auto"/>
        <w:rPr>
          <w:rFonts w:ascii="Times New Roman" w:hAnsi="Times New Roman" w:cs="Times New Roman"/>
          <w:sz w:val="24"/>
          <w:szCs w:val="24"/>
        </w:rPr>
      </w:pPr>
      <w:r w:rsidRPr="00371524">
        <w:rPr>
          <w:rFonts w:ascii="Times New Roman" w:hAnsi="Times New Roman" w:cs="Times New Roman"/>
          <w:sz w:val="24"/>
          <w:szCs w:val="24"/>
        </w:rPr>
        <w:t xml:space="preserve">The plaintiff attorney’s strategy in drafting that particular interrogatory was clear. He wanted to imply </w:t>
      </w:r>
      <w:r w:rsidR="00937939" w:rsidRPr="00371524">
        <w:rPr>
          <w:rFonts w:ascii="Times New Roman" w:hAnsi="Times New Roman" w:cs="Times New Roman"/>
          <w:sz w:val="24"/>
          <w:szCs w:val="24"/>
        </w:rPr>
        <w:t>that Defendant</w:t>
      </w:r>
      <w:r w:rsidR="0015530D">
        <w:rPr>
          <w:rFonts w:ascii="Times New Roman" w:hAnsi="Times New Roman" w:cs="Times New Roman"/>
          <w:sz w:val="24"/>
          <w:szCs w:val="24"/>
        </w:rPr>
        <w:t xml:space="preserve"> knew about crime on its</w:t>
      </w:r>
      <w:r w:rsidR="00937939" w:rsidRPr="00371524">
        <w:rPr>
          <w:rFonts w:ascii="Times New Roman" w:hAnsi="Times New Roman" w:cs="Times New Roman"/>
          <w:sz w:val="24"/>
          <w:szCs w:val="24"/>
        </w:rPr>
        <w:t xml:space="preserve"> property. Our strategy was to distinguish this particular crime</w:t>
      </w:r>
      <w:r w:rsidRPr="00371524">
        <w:rPr>
          <w:rFonts w:ascii="Times New Roman" w:hAnsi="Times New Roman" w:cs="Times New Roman"/>
          <w:sz w:val="24"/>
          <w:szCs w:val="24"/>
        </w:rPr>
        <w:t xml:space="preserve">. </w:t>
      </w:r>
      <w:r w:rsidR="00937939" w:rsidRPr="00371524">
        <w:rPr>
          <w:rFonts w:ascii="Times New Roman" w:hAnsi="Times New Roman" w:cs="Times New Roman"/>
          <w:sz w:val="24"/>
          <w:szCs w:val="24"/>
        </w:rPr>
        <w:t xml:space="preserve">This was easy to do. When </w:t>
      </w:r>
      <w:r w:rsidRPr="00371524">
        <w:rPr>
          <w:rFonts w:ascii="Times New Roman" w:hAnsi="Times New Roman" w:cs="Times New Roman"/>
          <w:sz w:val="24"/>
          <w:szCs w:val="24"/>
        </w:rPr>
        <w:t>the plaintiff’s interrogatories as</w:t>
      </w:r>
      <w:r w:rsidR="007B282F" w:rsidRPr="00371524">
        <w:rPr>
          <w:rFonts w:ascii="Times New Roman" w:hAnsi="Times New Roman" w:cs="Times New Roman"/>
          <w:sz w:val="24"/>
          <w:szCs w:val="24"/>
        </w:rPr>
        <w:t>k</w:t>
      </w:r>
      <w:r w:rsidRPr="00371524">
        <w:rPr>
          <w:rFonts w:ascii="Times New Roman" w:hAnsi="Times New Roman" w:cs="Times New Roman"/>
          <w:sz w:val="24"/>
          <w:szCs w:val="24"/>
        </w:rPr>
        <w:t>ed</w:t>
      </w:r>
      <w:r w:rsidR="00937939" w:rsidRPr="00371524">
        <w:rPr>
          <w:rFonts w:ascii="Times New Roman" w:hAnsi="Times New Roman" w:cs="Times New Roman"/>
          <w:sz w:val="24"/>
          <w:szCs w:val="24"/>
        </w:rPr>
        <w:t xml:space="preserve"> about other crimes on Defendant’s propert</w:t>
      </w:r>
      <w:r w:rsidRPr="00371524">
        <w:rPr>
          <w:rFonts w:ascii="Times New Roman" w:hAnsi="Times New Roman" w:cs="Times New Roman"/>
          <w:sz w:val="24"/>
          <w:szCs w:val="24"/>
        </w:rPr>
        <w:t xml:space="preserve">y, </w:t>
      </w:r>
      <w:r w:rsidR="007B282F" w:rsidRPr="00371524">
        <w:rPr>
          <w:rFonts w:ascii="Times New Roman" w:hAnsi="Times New Roman" w:cs="Times New Roman"/>
          <w:sz w:val="24"/>
          <w:szCs w:val="24"/>
        </w:rPr>
        <w:t>we responded as follows:</w:t>
      </w:r>
      <w:r w:rsidR="007B282F" w:rsidRPr="00371524">
        <w:rPr>
          <w:rStyle w:val="FootnoteReference"/>
          <w:rFonts w:ascii="Times New Roman" w:hAnsi="Times New Roman" w:cs="Times New Roman"/>
          <w:sz w:val="24"/>
          <w:szCs w:val="24"/>
        </w:rPr>
        <w:footnoteReference w:id="5"/>
      </w:r>
      <w:r w:rsidR="007B282F" w:rsidRPr="00371524">
        <w:rPr>
          <w:rFonts w:ascii="Times New Roman" w:hAnsi="Times New Roman" w:cs="Times New Roman"/>
          <w:sz w:val="24"/>
          <w:szCs w:val="24"/>
        </w:rPr>
        <w:t xml:space="preserve"> </w:t>
      </w:r>
    </w:p>
    <w:p w14:paraId="039ACFC4" w14:textId="1A0E5647" w:rsidR="005E4011" w:rsidRPr="00FE4527" w:rsidRDefault="007B282F" w:rsidP="00FE4527">
      <w:pPr>
        <w:pStyle w:val="ListParagraph"/>
        <w:numPr>
          <w:ilvl w:val="0"/>
          <w:numId w:val="8"/>
        </w:numPr>
        <w:spacing w:after="0" w:line="480" w:lineRule="auto"/>
        <w:rPr>
          <w:rFonts w:ascii="Times New Roman" w:hAnsi="Times New Roman" w:cs="Times New Roman"/>
          <w:sz w:val="24"/>
          <w:szCs w:val="24"/>
        </w:rPr>
      </w:pPr>
      <w:r w:rsidRPr="00371524">
        <w:rPr>
          <w:rFonts w:ascii="Times New Roman" w:hAnsi="Times New Roman" w:cs="Times New Roman"/>
          <w:sz w:val="24"/>
          <w:szCs w:val="24"/>
        </w:rPr>
        <w:t xml:space="preserve">After making objections, we responded as follows: </w:t>
      </w:r>
      <w:r w:rsidR="00937939" w:rsidRPr="00371524">
        <w:rPr>
          <w:rFonts w:ascii="Times New Roman" w:hAnsi="Times New Roman" w:cs="Times New Roman"/>
          <w:sz w:val="24"/>
          <w:szCs w:val="24"/>
        </w:rPr>
        <w:t>“Defendant states that there have been no prior, substantially similar crimes where a [Patron] was shot aboard [Defendant’s train] for the five (5) years preceding the subject incident.”</w:t>
      </w:r>
      <w:r w:rsidR="00937939" w:rsidRPr="00371524">
        <w:rPr>
          <w:rStyle w:val="FootnoteReference"/>
          <w:rFonts w:ascii="Times New Roman" w:hAnsi="Times New Roman" w:cs="Times New Roman"/>
          <w:sz w:val="24"/>
          <w:szCs w:val="24"/>
        </w:rPr>
        <w:footnoteReference w:id="6"/>
      </w:r>
      <w:r w:rsidR="00937939" w:rsidRPr="00371524">
        <w:rPr>
          <w:rFonts w:ascii="Times New Roman" w:hAnsi="Times New Roman" w:cs="Times New Roman"/>
          <w:sz w:val="24"/>
          <w:szCs w:val="24"/>
        </w:rPr>
        <w:t xml:space="preserve"> </w:t>
      </w:r>
    </w:p>
    <w:p w14:paraId="4D9A86CE" w14:textId="4BF493AA" w:rsidR="007B282F" w:rsidRPr="00371524" w:rsidRDefault="00937939" w:rsidP="009B5AE4">
      <w:pPr>
        <w:spacing w:after="0" w:line="480" w:lineRule="auto"/>
        <w:rPr>
          <w:rFonts w:ascii="Times New Roman" w:hAnsi="Times New Roman" w:cs="Times New Roman"/>
          <w:sz w:val="24"/>
          <w:szCs w:val="24"/>
        </w:rPr>
      </w:pPr>
      <w:r w:rsidRPr="00371524">
        <w:rPr>
          <w:rFonts w:ascii="Times New Roman" w:hAnsi="Times New Roman" w:cs="Times New Roman"/>
          <w:sz w:val="24"/>
          <w:szCs w:val="24"/>
        </w:rPr>
        <w:tab/>
        <w:t>As another exa</w:t>
      </w:r>
      <w:r w:rsidR="008A7F2F" w:rsidRPr="00371524">
        <w:rPr>
          <w:rFonts w:ascii="Times New Roman" w:hAnsi="Times New Roman" w:cs="Times New Roman"/>
          <w:sz w:val="24"/>
          <w:szCs w:val="24"/>
        </w:rPr>
        <w:t xml:space="preserve">mple, in the </w:t>
      </w:r>
      <w:r w:rsidR="0045520B" w:rsidRPr="00371524">
        <w:rPr>
          <w:rFonts w:ascii="Times New Roman" w:hAnsi="Times New Roman" w:cs="Times New Roman"/>
          <w:sz w:val="24"/>
          <w:szCs w:val="24"/>
        </w:rPr>
        <w:t>photograph</w:t>
      </w:r>
      <w:r w:rsidRPr="00371524">
        <w:rPr>
          <w:rFonts w:ascii="Times New Roman" w:hAnsi="Times New Roman" w:cs="Times New Roman"/>
          <w:sz w:val="24"/>
          <w:szCs w:val="24"/>
        </w:rPr>
        <w:t xml:space="preserve"> case, the plaintiff asked the following interrogatory: </w:t>
      </w:r>
    </w:p>
    <w:p w14:paraId="68E7DEF7" w14:textId="77777777" w:rsidR="007B282F" w:rsidRPr="00371524" w:rsidRDefault="00937939" w:rsidP="007B282F">
      <w:pPr>
        <w:pStyle w:val="ListParagraph"/>
        <w:numPr>
          <w:ilvl w:val="0"/>
          <w:numId w:val="8"/>
        </w:numPr>
        <w:spacing w:after="0" w:line="480" w:lineRule="auto"/>
        <w:rPr>
          <w:rFonts w:ascii="Times New Roman" w:hAnsi="Times New Roman" w:cs="Times New Roman"/>
          <w:sz w:val="24"/>
          <w:szCs w:val="24"/>
        </w:rPr>
      </w:pPr>
      <w:r w:rsidRPr="00371524">
        <w:rPr>
          <w:rFonts w:ascii="Times New Roman" w:hAnsi="Times New Roman" w:cs="Times New Roman"/>
          <w:sz w:val="24"/>
          <w:szCs w:val="24"/>
        </w:rPr>
        <w:lastRenderedPageBreak/>
        <w:t>“Please state whether, within the past seven years, you have ever discarded or destroyed any documents or things that have information about incident</w:t>
      </w:r>
      <w:r w:rsidR="00B803D3" w:rsidRPr="00371524">
        <w:rPr>
          <w:rFonts w:ascii="Times New Roman" w:hAnsi="Times New Roman" w:cs="Times New Roman"/>
          <w:sz w:val="24"/>
          <w:szCs w:val="24"/>
        </w:rPr>
        <w:t>s of sexual perversion at [Defendant Store]</w:t>
      </w:r>
      <w:r w:rsidRPr="00371524">
        <w:rPr>
          <w:rFonts w:ascii="Times New Roman" w:hAnsi="Times New Roman" w:cs="Times New Roman"/>
          <w:sz w:val="24"/>
          <w:szCs w:val="24"/>
        </w:rPr>
        <w:t xml:space="preserve">, and if the answer is ‘yes,’ please identify all such documents, state the dates on which said documents were discarded or destroyed, and ‘identify’ who has knowledge of the documents or things.”  </w:t>
      </w:r>
    </w:p>
    <w:p w14:paraId="77F44F53" w14:textId="77777777" w:rsidR="0008432B" w:rsidRPr="00371524" w:rsidRDefault="00937939" w:rsidP="007B282F">
      <w:pPr>
        <w:pStyle w:val="ListParagraph"/>
        <w:numPr>
          <w:ilvl w:val="0"/>
          <w:numId w:val="8"/>
        </w:numPr>
        <w:spacing w:after="0" w:line="480" w:lineRule="auto"/>
        <w:rPr>
          <w:rFonts w:ascii="Times New Roman" w:hAnsi="Times New Roman" w:cs="Times New Roman"/>
          <w:sz w:val="24"/>
          <w:szCs w:val="24"/>
        </w:rPr>
      </w:pPr>
      <w:r w:rsidRPr="00371524">
        <w:rPr>
          <w:rFonts w:ascii="Times New Roman" w:hAnsi="Times New Roman" w:cs="Times New Roman"/>
          <w:sz w:val="24"/>
          <w:szCs w:val="24"/>
        </w:rPr>
        <w:t>We responded as follows: “[Defendant] objects to this Interrogatory on the grounds that it is overly broad, vague, ambiguous, and unspecific as ‘sexual perversion’ is not defined. Without waiving said objection, [Defendant] is not aware of the destruction of documents related to any alleged sexual pervers</w:t>
      </w:r>
      <w:r w:rsidR="00E952BF" w:rsidRPr="00371524">
        <w:rPr>
          <w:rFonts w:ascii="Times New Roman" w:hAnsi="Times New Roman" w:cs="Times New Roman"/>
          <w:sz w:val="24"/>
          <w:szCs w:val="24"/>
        </w:rPr>
        <w:t xml:space="preserve">ion at [Defendant Store].” </w:t>
      </w:r>
    </w:p>
    <w:p w14:paraId="40625924" w14:textId="0CA3E53B" w:rsidR="00C2009F" w:rsidRPr="00371524" w:rsidRDefault="0008432B" w:rsidP="0008432B">
      <w:pPr>
        <w:spacing w:after="0" w:line="480" w:lineRule="auto"/>
        <w:ind w:firstLine="720"/>
        <w:rPr>
          <w:rFonts w:ascii="Times New Roman" w:hAnsi="Times New Roman" w:cs="Times New Roman"/>
          <w:sz w:val="24"/>
          <w:szCs w:val="24"/>
        </w:rPr>
      </w:pPr>
      <w:r w:rsidRPr="00371524">
        <w:rPr>
          <w:rFonts w:ascii="Times New Roman" w:hAnsi="Times New Roman" w:cs="Times New Roman"/>
          <w:sz w:val="24"/>
          <w:szCs w:val="24"/>
        </w:rPr>
        <w:t xml:space="preserve">Notice how the use of the phrase, “sexual perversion,” is both vague and defamatory. This is a favored tactic of the reptile attorney. </w:t>
      </w:r>
      <w:r w:rsidR="00937939" w:rsidRPr="00371524">
        <w:rPr>
          <w:rFonts w:ascii="Times New Roman" w:hAnsi="Times New Roman" w:cs="Times New Roman"/>
          <w:sz w:val="24"/>
          <w:szCs w:val="24"/>
        </w:rPr>
        <w:t>In respond</w:t>
      </w:r>
      <w:r w:rsidRPr="00371524">
        <w:rPr>
          <w:rFonts w:ascii="Times New Roman" w:hAnsi="Times New Roman" w:cs="Times New Roman"/>
          <w:sz w:val="24"/>
          <w:szCs w:val="24"/>
        </w:rPr>
        <w:t>ing to interrogatories that use</w:t>
      </w:r>
      <w:r w:rsidR="00443707" w:rsidRPr="00371524">
        <w:rPr>
          <w:rFonts w:ascii="Times New Roman" w:hAnsi="Times New Roman" w:cs="Times New Roman"/>
          <w:sz w:val="24"/>
          <w:szCs w:val="24"/>
        </w:rPr>
        <w:t xml:space="preserve"> </w:t>
      </w:r>
      <w:r w:rsidR="00937939" w:rsidRPr="00371524">
        <w:rPr>
          <w:rFonts w:ascii="Times New Roman" w:hAnsi="Times New Roman" w:cs="Times New Roman"/>
          <w:sz w:val="24"/>
          <w:szCs w:val="24"/>
        </w:rPr>
        <w:t xml:space="preserve">vague </w:t>
      </w:r>
      <w:r w:rsidR="00443707" w:rsidRPr="00371524">
        <w:rPr>
          <w:rFonts w:ascii="Times New Roman" w:hAnsi="Times New Roman" w:cs="Times New Roman"/>
          <w:sz w:val="24"/>
          <w:szCs w:val="24"/>
        </w:rPr>
        <w:t xml:space="preserve"> words or </w:t>
      </w:r>
      <w:r w:rsidR="00937939" w:rsidRPr="00371524">
        <w:rPr>
          <w:rFonts w:ascii="Times New Roman" w:hAnsi="Times New Roman" w:cs="Times New Roman"/>
          <w:sz w:val="24"/>
          <w:szCs w:val="24"/>
        </w:rPr>
        <w:t xml:space="preserve">safety rules, remember that federal case law is clear that a </w:t>
      </w:r>
      <w:r w:rsidR="00EF0B72" w:rsidRPr="00371524">
        <w:rPr>
          <w:rFonts w:ascii="Times New Roman" w:hAnsi="Times New Roman" w:cs="Times New Roman"/>
          <w:sz w:val="24"/>
          <w:szCs w:val="24"/>
        </w:rPr>
        <w:t>“</w:t>
      </w:r>
      <w:r w:rsidR="00937939" w:rsidRPr="00371524">
        <w:rPr>
          <w:rFonts w:ascii="Times New Roman" w:hAnsi="Times New Roman" w:cs="Times New Roman"/>
          <w:sz w:val="24"/>
          <w:szCs w:val="24"/>
        </w:rPr>
        <w:t>respondent need not be a mind reader, and bears no obligation under the federal rules to fill in the missing blanks or construe an incoherent question in a coherent manner.</w:t>
      </w:r>
      <w:r w:rsidR="00EF0B72" w:rsidRPr="00371524">
        <w:rPr>
          <w:rFonts w:ascii="Times New Roman" w:hAnsi="Times New Roman" w:cs="Times New Roman"/>
          <w:sz w:val="24"/>
          <w:szCs w:val="24"/>
        </w:rPr>
        <w:t xml:space="preserve">” </w:t>
      </w:r>
      <w:r w:rsidR="0098517D" w:rsidRPr="00371524">
        <w:rPr>
          <w:rFonts w:ascii="Times New Roman" w:hAnsi="Times New Roman" w:cs="Times New Roman"/>
          <w:sz w:val="24"/>
          <w:szCs w:val="24"/>
        </w:rPr>
        <w:t xml:space="preserve">Paul W. Grimm et al., </w:t>
      </w:r>
      <w:r w:rsidR="0098517D" w:rsidRPr="00371524">
        <w:rPr>
          <w:rFonts w:ascii="Times New Roman" w:hAnsi="Times New Roman" w:cs="Times New Roman"/>
          <w:i/>
          <w:sz w:val="24"/>
          <w:szCs w:val="24"/>
        </w:rPr>
        <w:t>Discovery Problems and Their Solutions</w:t>
      </w:r>
      <w:r w:rsidR="0098517D" w:rsidRPr="00371524">
        <w:rPr>
          <w:rFonts w:ascii="Times New Roman" w:hAnsi="Times New Roman" w:cs="Times New Roman"/>
          <w:sz w:val="24"/>
          <w:szCs w:val="24"/>
        </w:rPr>
        <w:t>,</w:t>
      </w:r>
      <w:r w:rsidR="0098517D" w:rsidRPr="00371524">
        <w:rPr>
          <w:rFonts w:ascii="Times New Roman" w:hAnsi="Times New Roman" w:cs="Times New Roman"/>
          <w:i/>
          <w:sz w:val="24"/>
          <w:szCs w:val="24"/>
        </w:rPr>
        <w:t xml:space="preserve"> </w:t>
      </w:r>
      <w:r w:rsidR="00603745">
        <w:rPr>
          <w:rFonts w:ascii="Times New Roman" w:hAnsi="Times New Roman" w:cs="Times New Roman"/>
          <w:sz w:val="24"/>
          <w:szCs w:val="24"/>
        </w:rPr>
        <w:t>10</w:t>
      </w:r>
      <w:r w:rsidR="001377D4" w:rsidRPr="00371524">
        <w:rPr>
          <w:rFonts w:ascii="Times New Roman" w:hAnsi="Times New Roman" w:cs="Times New Roman"/>
          <w:sz w:val="24"/>
          <w:szCs w:val="24"/>
        </w:rPr>
        <w:t xml:space="preserve"> (</w:t>
      </w:r>
      <w:r w:rsidR="005C1953" w:rsidRPr="00371524">
        <w:rPr>
          <w:rFonts w:ascii="Times New Roman" w:hAnsi="Times New Roman" w:cs="Times New Roman"/>
          <w:sz w:val="24"/>
          <w:szCs w:val="24"/>
        </w:rPr>
        <w:t xml:space="preserve">3d. </w:t>
      </w:r>
      <w:r w:rsidR="001377D4" w:rsidRPr="00371524">
        <w:rPr>
          <w:rFonts w:ascii="Times New Roman" w:hAnsi="Times New Roman" w:cs="Times New Roman"/>
          <w:sz w:val="24"/>
          <w:szCs w:val="24"/>
        </w:rPr>
        <w:t>ed. 2014) (</w:t>
      </w:r>
      <w:r w:rsidR="00EF0B72" w:rsidRPr="00371524">
        <w:rPr>
          <w:rFonts w:ascii="Times New Roman" w:hAnsi="Times New Roman" w:cs="Times New Roman"/>
          <w:sz w:val="24"/>
          <w:szCs w:val="24"/>
        </w:rPr>
        <w:t>citing</w:t>
      </w:r>
      <w:r w:rsidR="00937939" w:rsidRPr="00371524">
        <w:rPr>
          <w:rFonts w:ascii="Times New Roman" w:hAnsi="Times New Roman" w:cs="Times New Roman"/>
          <w:sz w:val="24"/>
          <w:szCs w:val="24"/>
        </w:rPr>
        <w:t xml:space="preserve"> </w:t>
      </w:r>
      <w:r w:rsidR="00937939" w:rsidRPr="004453D4">
        <w:rPr>
          <w:rFonts w:ascii="Times New Roman" w:hAnsi="Times New Roman" w:cs="Times New Roman"/>
          <w:sz w:val="24"/>
          <w:szCs w:val="24"/>
          <w:u w:val="single"/>
        </w:rPr>
        <w:t>Rucker v. Wabash R. Co.</w:t>
      </w:r>
      <w:r w:rsidR="00937939" w:rsidRPr="00371524">
        <w:rPr>
          <w:rFonts w:ascii="Times New Roman" w:hAnsi="Times New Roman" w:cs="Times New Roman"/>
          <w:sz w:val="24"/>
          <w:szCs w:val="24"/>
        </w:rPr>
        <w:t xml:space="preserve">, 418 F.2d 146 (7th Cir. 1969); </w:t>
      </w:r>
      <w:r w:rsidR="00937939" w:rsidRPr="007D0F8B">
        <w:rPr>
          <w:rFonts w:ascii="Times New Roman" w:hAnsi="Times New Roman" w:cs="Times New Roman"/>
          <w:sz w:val="24"/>
          <w:szCs w:val="24"/>
          <w:u w:val="single"/>
        </w:rPr>
        <w:t>Tsangarakis v. Panama S.S. Co.,</w:t>
      </w:r>
      <w:r w:rsidR="00937939" w:rsidRPr="00371524">
        <w:rPr>
          <w:rFonts w:ascii="Times New Roman" w:hAnsi="Times New Roman" w:cs="Times New Roman"/>
          <w:sz w:val="24"/>
          <w:szCs w:val="24"/>
        </w:rPr>
        <w:t xml:space="preserve"> 41 F.R.D. 219 (E.D. Pa. 1966)</w:t>
      </w:r>
      <w:r w:rsidR="00EF0B72" w:rsidRPr="00371524">
        <w:rPr>
          <w:rFonts w:ascii="Times New Roman" w:hAnsi="Times New Roman" w:cs="Times New Roman"/>
          <w:sz w:val="24"/>
          <w:szCs w:val="24"/>
        </w:rPr>
        <w:t>)</w:t>
      </w:r>
      <w:r w:rsidR="00937939" w:rsidRPr="00371524">
        <w:rPr>
          <w:rFonts w:ascii="Times New Roman" w:hAnsi="Times New Roman" w:cs="Times New Roman"/>
          <w:sz w:val="24"/>
          <w:szCs w:val="24"/>
        </w:rPr>
        <w:t xml:space="preserve">. </w:t>
      </w:r>
    </w:p>
    <w:p w14:paraId="2C125D73" w14:textId="77777777" w:rsidR="004176A4" w:rsidRDefault="004176A4" w:rsidP="009B5AE4">
      <w:pPr>
        <w:spacing w:after="0" w:line="480" w:lineRule="auto"/>
        <w:rPr>
          <w:rFonts w:ascii="Times New Roman" w:hAnsi="Times New Roman" w:cs="Times New Roman"/>
          <w:sz w:val="24"/>
          <w:szCs w:val="24"/>
        </w:rPr>
      </w:pPr>
    </w:p>
    <w:p w14:paraId="1B5F4AD8" w14:textId="74B78E40" w:rsidR="00937939" w:rsidRPr="00371524" w:rsidRDefault="00930935" w:rsidP="00CF67AE">
      <w:pPr>
        <w:pStyle w:val="ListParagraph"/>
        <w:numPr>
          <w:ilvl w:val="0"/>
          <w:numId w:val="2"/>
        </w:numPr>
        <w:spacing w:line="480" w:lineRule="auto"/>
        <w:rPr>
          <w:rFonts w:ascii="Times New Roman" w:hAnsi="Times New Roman" w:cs="Times New Roman"/>
          <w:b/>
          <w:sz w:val="24"/>
          <w:szCs w:val="24"/>
        </w:rPr>
      </w:pPr>
      <w:bookmarkStart w:id="0" w:name="_GoBack"/>
      <w:bookmarkEnd w:id="0"/>
      <w:r w:rsidRPr="00371524">
        <w:rPr>
          <w:rFonts w:ascii="Times New Roman" w:hAnsi="Times New Roman" w:cs="Times New Roman"/>
          <w:b/>
          <w:sz w:val="24"/>
          <w:szCs w:val="24"/>
        </w:rPr>
        <w:t xml:space="preserve">Answer requests for admissions with facts and context that support your client’s case. </w:t>
      </w:r>
    </w:p>
    <w:p w14:paraId="5D35CC82" w14:textId="5CBF355C" w:rsidR="007F47E6" w:rsidRPr="00371524" w:rsidRDefault="00836995" w:rsidP="00937939">
      <w:pPr>
        <w:spacing w:after="0" w:line="480" w:lineRule="auto"/>
        <w:rPr>
          <w:rFonts w:ascii="Times New Roman" w:hAnsi="Times New Roman" w:cs="Times New Roman"/>
          <w:sz w:val="24"/>
          <w:szCs w:val="24"/>
        </w:rPr>
      </w:pPr>
      <w:r w:rsidRPr="00371524">
        <w:rPr>
          <w:rFonts w:ascii="Times New Roman" w:hAnsi="Times New Roman" w:cs="Times New Roman"/>
          <w:sz w:val="24"/>
          <w:szCs w:val="24"/>
        </w:rPr>
        <w:lastRenderedPageBreak/>
        <w:tab/>
      </w:r>
      <w:r w:rsidR="00BB4784" w:rsidRPr="00371524">
        <w:rPr>
          <w:rFonts w:ascii="Times New Roman" w:hAnsi="Times New Roman" w:cs="Times New Roman"/>
          <w:sz w:val="24"/>
          <w:szCs w:val="24"/>
        </w:rPr>
        <w:t xml:space="preserve"> </w:t>
      </w:r>
      <w:r w:rsidR="001C512D" w:rsidRPr="00371524">
        <w:rPr>
          <w:rFonts w:ascii="Times New Roman" w:hAnsi="Times New Roman" w:cs="Times New Roman"/>
          <w:sz w:val="24"/>
          <w:szCs w:val="24"/>
        </w:rPr>
        <w:t>Like answers to complaints and interrogatories, we answer req</w:t>
      </w:r>
      <w:r w:rsidR="00B3569A" w:rsidRPr="00371524">
        <w:rPr>
          <w:rFonts w:ascii="Times New Roman" w:hAnsi="Times New Roman" w:cs="Times New Roman"/>
          <w:sz w:val="24"/>
          <w:szCs w:val="24"/>
        </w:rPr>
        <w:t xml:space="preserve">uests for admissions </w:t>
      </w:r>
      <w:r w:rsidR="001C512D" w:rsidRPr="00371524">
        <w:rPr>
          <w:rFonts w:ascii="Times New Roman" w:hAnsi="Times New Roman" w:cs="Times New Roman"/>
          <w:sz w:val="24"/>
          <w:szCs w:val="24"/>
        </w:rPr>
        <w:t>with facts</w:t>
      </w:r>
      <w:r w:rsidR="009860F3" w:rsidRPr="00371524">
        <w:rPr>
          <w:rFonts w:ascii="Times New Roman" w:hAnsi="Times New Roman" w:cs="Times New Roman"/>
          <w:sz w:val="24"/>
          <w:szCs w:val="24"/>
        </w:rPr>
        <w:t xml:space="preserve"> and context</w:t>
      </w:r>
      <w:r w:rsidR="002D1AE7" w:rsidRPr="00371524">
        <w:rPr>
          <w:rFonts w:ascii="Times New Roman" w:hAnsi="Times New Roman" w:cs="Times New Roman"/>
          <w:sz w:val="24"/>
          <w:szCs w:val="24"/>
        </w:rPr>
        <w:t xml:space="preserve"> that support our </w:t>
      </w:r>
      <w:r w:rsidR="007F47E6" w:rsidRPr="00371524">
        <w:rPr>
          <w:rFonts w:ascii="Times New Roman" w:hAnsi="Times New Roman" w:cs="Times New Roman"/>
          <w:sz w:val="24"/>
          <w:szCs w:val="24"/>
        </w:rPr>
        <w:t xml:space="preserve">client’s </w:t>
      </w:r>
      <w:r w:rsidR="002D1AE7" w:rsidRPr="00371524">
        <w:rPr>
          <w:rFonts w:ascii="Times New Roman" w:hAnsi="Times New Roman" w:cs="Times New Roman"/>
          <w:sz w:val="24"/>
          <w:szCs w:val="24"/>
        </w:rPr>
        <w:t>case</w:t>
      </w:r>
      <w:r w:rsidR="002F09DE" w:rsidRPr="00371524">
        <w:rPr>
          <w:rFonts w:ascii="Times New Roman" w:hAnsi="Times New Roman" w:cs="Times New Roman"/>
          <w:sz w:val="24"/>
          <w:szCs w:val="24"/>
        </w:rPr>
        <w:t>.</w:t>
      </w:r>
      <w:r w:rsidR="001C512D" w:rsidRPr="00371524">
        <w:rPr>
          <w:rFonts w:ascii="Times New Roman" w:hAnsi="Times New Roman" w:cs="Times New Roman"/>
          <w:sz w:val="24"/>
          <w:szCs w:val="24"/>
        </w:rPr>
        <w:t xml:space="preserve"> For ex</w:t>
      </w:r>
      <w:r w:rsidR="0081176E" w:rsidRPr="00371524">
        <w:rPr>
          <w:rFonts w:ascii="Times New Roman" w:hAnsi="Times New Roman" w:cs="Times New Roman"/>
          <w:sz w:val="24"/>
          <w:szCs w:val="24"/>
        </w:rPr>
        <w:t xml:space="preserve">ample, in the shooting case, we </w:t>
      </w:r>
      <w:r w:rsidR="001C512D" w:rsidRPr="00371524">
        <w:rPr>
          <w:rFonts w:ascii="Times New Roman" w:hAnsi="Times New Roman" w:cs="Times New Roman"/>
          <w:sz w:val="24"/>
          <w:szCs w:val="24"/>
        </w:rPr>
        <w:t xml:space="preserve">received the following request for admission: </w:t>
      </w:r>
    </w:p>
    <w:p w14:paraId="33D74FD6" w14:textId="77777777" w:rsidR="007F47E6" w:rsidRPr="00371524" w:rsidRDefault="001C512D" w:rsidP="007F47E6">
      <w:pPr>
        <w:pStyle w:val="ListParagraph"/>
        <w:numPr>
          <w:ilvl w:val="0"/>
          <w:numId w:val="9"/>
        </w:numPr>
        <w:spacing w:after="0" w:line="480" w:lineRule="auto"/>
        <w:rPr>
          <w:rFonts w:ascii="Times New Roman" w:hAnsi="Times New Roman" w:cs="Times New Roman"/>
          <w:sz w:val="24"/>
          <w:szCs w:val="24"/>
        </w:rPr>
      </w:pPr>
      <w:r w:rsidRPr="00371524">
        <w:rPr>
          <w:rFonts w:ascii="Times New Roman" w:hAnsi="Times New Roman" w:cs="Times New Roman"/>
          <w:sz w:val="24"/>
          <w:szCs w:val="24"/>
        </w:rPr>
        <w:t xml:space="preserve">“Defendant did not take </w:t>
      </w:r>
      <w:r w:rsidR="000A5BDF" w:rsidRPr="00371524">
        <w:rPr>
          <w:rFonts w:ascii="Times New Roman" w:hAnsi="Times New Roman" w:cs="Times New Roman"/>
          <w:sz w:val="24"/>
          <w:szCs w:val="24"/>
        </w:rPr>
        <w:t xml:space="preserve">any action to warn [Plaintiff] </w:t>
      </w:r>
      <w:r w:rsidRPr="00371524">
        <w:rPr>
          <w:rFonts w:ascii="Times New Roman" w:hAnsi="Times New Roman" w:cs="Times New Roman"/>
          <w:sz w:val="24"/>
          <w:szCs w:val="24"/>
        </w:rPr>
        <w:t xml:space="preserve">of prior criminal activity </w:t>
      </w:r>
      <w:r w:rsidR="000A5BDF" w:rsidRPr="00371524">
        <w:rPr>
          <w:rFonts w:ascii="Times New Roman" w:hAnsi="Times New Roman" w:cs="Times New Roman"/>
          <w:sz w:val="24"/>
          <w:szCs w:val="24"/>
        </w:rPr>
        <w:t xml:space="preserve">at [Defendant’s premises prior to date of incident].” </w:t>
      </w:r>
    </w:p>
    <w:p w14:paraId="3F2F71E1" w14:textId="77777777" w:rsidR="007F47E6" w:rsidRPr="00371524" w:rsidRDefault="000A5BDF" w:rsidP="007F47E6">
      <w:pPr>
        <w:pStyle w:val="ListParagraph"/>
        <w:numPr>
          <w:ilvl w:val="0"/>
          <w:numId w:val="9"/>
        </w:numPr>
        <w:spacing w:after="0" w:line="480" w:lineRule="auto"/>
        <w:rPr>
          <w:rFonts w:ascii="Times New Roman" w:hAnsi="Times New Roman" w:cs="Times New Roman"/>
          <w:sz w:val="24"/>
          <w:szCs w:val="24"/>
        </w:rPr>
      </w:pPr>
      <w:r w:rsidRPr="00371524">
        <w:rPr>
          <w:rFonts w:ascii="Times New Roman" w:hAnsi="Times New Roman" w:cs="Times New Roman"/>
          <w:sz w:val="24"/>
          <w:szCs w:val="24"/>
        </w:rPr>
        <w:t>We responded with the following: “Denied. Defendant shows that it did not warn Plaintiff that should he choose to enter into a verbal altercation with</w:t>
      </w:r>
      <w:r w:rsidR="00FA35DE" w:rsidRPr="00371524">
        <w:rPr>
          <w:rFonts w:ascii="Times New Roman" w:hAnsi="Times New Roman" w:cs="Times New Roman"/>
          <w:sz w:val="24"/>
          <w:szCs w:val="24"/>
        </w:rPr>
        <w:t xml:space="preserve"> another [Patron]</w:t>
      </w:r>
      <w:r w:rsidRPr="00371524">
        <w:rPr>
          <w:rFonts w:ascii="Times New Roman" w:hAnsi="Times New Roman" w:cs="Times New Roman"/>
          <w:sz w:val="24"/>
          <w:szCs w:val="24"/>
        </w:rPr>
        <w:t xml:space="preserve"> that such might result in the escalation of said altercation to the point where a shooting may occur.” </w:t>
      </w:r>
    </w:p>
    <w:p w14:paraId="30D907A2" w14:textId="77777777" w:rsidR="007F47E6" w:rsidRPr="00371524" w:rsidRDefault="00F03C84" w:rsidP="007F47E6">
      <w:pPr>
        <w:spacing w:after="0" w:line="480" w:lineRule="auto"/>
        <w:rPr>
          <w:rFonts w:ascii="Times New Roman" w:hAnsi="Times New Roman" w:cs="Times New Roman"/>
          <w:sz w:val="24"/>
          <w:szCs w:val="24"/>
        </w:rPr>
      </w:pPr>
      <w:r w:rsidRPr="00371524">
        <w:rPr>
          <w:rFonts w:ascii="Times New Roman" w:hAnsi="Times New Roman" w:cs="Times New Roman"/>
          <w:sz w:val="24"/>
          <w:szCs w:val="24"/>
        </w:rPr>
        <w:t>As another example</w:t>
      </w:r>
      <w:r w:rsidR="00972F0C" w:rsidRPr="00371524">
        <w:rPr>
          <w:rFonts w:ascii="Times New Roman" w:hAnsi="Times New Roman" w:cs="Times New Roman"/>
          <w:sz w:val="24"/>
          <w:szCs w:val="24"/>
        </w:rPr>
        <w:t>,</w:t>
      </w:r>
      <w:r w:rsidRPr="00371524">
        <w:rPr>
          <w:rFonts w:ascii="Times New Roman" w:hAnsi="Times New Roman" w:cs="Times New Roman"/>
          <w:sz w:val="24"/>
          <w:szCs w:val="24"/>
        </w:rPr>
        <w:t xml:space="preserve"> from the same </w:t>
      </w:r>
      <w:r w:rsidR="00972F0C" w:rsidRPr="00371524">
        <w:rPr>
          <w:rFonts w:ascii="Times New Roman" w:hAnsi="Times New Roman" w:cs="Times New Roman"/>
          <w:sz w:val="24"/>
          <w:szCs w:val="24"/>
        </w:rPr>
        <w:t xml:space="preserve">shooting </w:t>
      </w:r>
      <w:r w:rsidR="006B6E72" w:rsidRPr="00371524">
        <w:rPr>
          <w:rFonts w:ascii="Times New Roman" w:hAnsi="Times New Roman" w:cs="Times New Roman"/>
          <w:sz w:val="24"/>
          <w:szCs w:val="24"/>
        </w:rPr>
        <w:t xml:space="preserve">case, </w:t>
      </w:r>
      <w:r w:rsidR="00A97D6C" w:rsidRPr="00371524">
        <w:rPr>
          <w:rFonts w:ascii="Times New Roman" w:hAnsi="Times New Roman" w:cs="Times New Roman"/>
          <w:sz w:val="24"/>
          <w:szCs w:val="24"/>
        </w:rPr>
        <w:t xml:space="preserve">opposing counsel </w:t>
      </w:r>
      <w:r w:rsidRPr="00371524">
        <w:rPr>
          <w:rFonts w:ascii="Times New Roman" w:hAnsi="Times New Roman" w:cs="Times New Roman"/>
          <w:sz w:val="24"/>
          <w:szCs w:val="24"/>
        </w:rPr>
        <w:t xml:space="preserve">requested admission of the following: </w:t>
      </w:r>
    </w:p>
    <w:p w14:paraId="3923709D" w14:textId="77777777" w:rsidR="007F47E6" w:rsidRPr="00371524" w:rsidRDefault="00F03C84" w:rsidP="007F47E6">
      <w:pPr>
        <w:pStyle w:val="ListParagraph"/>
        <w:numPr>
          <w:ilvl w:val="0"/>
          <w:numId w:val="10"/>
        </w:numPr>
        <w:spacing w:after="0" w:line="480" w:lineRule="auto"/>
        <w:rPr>
          <w:rFonts w:ascii="Times New Roman" w:hAnsi="Times New Roman" w:cs="Times New Roman"/>
          <w:sz w:val="24"/>
          <w:szCs w:val="24"/>
        </w:rPr>
      </w:pPr>
      <w:r w:rsidRPr="00371524">
        <w:rPr>
          <w:rFonts w:ascii="Times New Roman" w:hAnsi="Times New Roman" w:cs="Times New Roman"/>
          <w:sz w:val="24"/>
          <w:szCs w:val="24"/>
        </w:rPr>
        <w:t>“Defendants, its agents, and/or its employees had knowledge that other individuals had been physically assaulted prior to [Date at Defendant’</w:t>
      </w:r>
      <w:r w:rsidR="00A24953" w:rsidRPr="00371524">
        <w:rPr>
          <w:rFonts w:ascii="Times New Roman" w:hAnsi="Times New Roman" w:cs="Times New Roman"/>
          <w:sz w:val="24"/>
          <w:szCs w:val="24"/>
        </w:rPr>
        <w:t xml:space="preserve">s Premises].” </w:t>
      </w:r>
    </w:p>
    <w:p w14:paraId="4A9E15C0" w14:textId="1FA41B97" w:rsidR="00937939" w:rsidRPr="00371524" w:rsidRDefault="00A24953" w:rsidP="007F47E6">
      <w:pPr>
        <w:pStyle w:val="ListParagraph"/>
        <w:numPr>
          <w:ilvl w:val="0"/>
          <w:numId w:val="10"/>
        </w:numPr>
        <w:spacing w:after="0" w:line="480" w:lineRule="auto"/>
        <w:rPr>
          <w:rFonts w:ascii="Times New Roman" w:hAnsi="Times New Roman" w:cs="Times New Roman"/>
          <w:sz w:val="24"/>
          <w:szCs w:val="24"/>
        </w:rPr>
      </w:pPr>
      <w:r w:rsidRPr="00371524">
        <w:rPr>
          <w:rFonts w:ascii="Times New Roman" w:hAnsi="Times New Roman" w:cs="Times New Roman"/>
          <w:sz w:val="24"/>
          <w:szCs w:val="24"/>
        </w:rPr>
        <w:t>Again, we stuck to</w:t>
      </w:r>
      <w:r w:rsidR="00F03C84" w:rsidRPr="00371524">
        <w:rPr>
          <w:rFonts w:ascii="Times New Roman" w:hAnsi="Times New Roman" w:cs="Times New Roman"/>
          <w:sz w:val="24"/>
          <w:szCs w:val="24"/>
        </w:rPr>
        <w:t xml:space="preserve"> the facts: “Denied as stated. Defendant did not have actual knowledge of any prior substantially similar crime occurring aboard a train [at Defendant’s premises]. Although Defendant was aware of prior crime occurring at [Defendant’s premises], there had never been an incident involving one patron confronting another patron on a train, with the latter patron shooting the former upon escalation of that confrontation, as the train arrived at [Defendant’s Premises].”</w:t>
      </w:r>
    </w:p>
    <w:p w14:paraId="75C3408D" w14:textId="77777777" w:rsidR="007F47E6" w:rsidRPr="00371524" w:rsidRDefault="007F47E6" w:rsidP="007F47E6">
      <w:pPr>
        <w:pStyle w:val="ListParagraph"/>
        <w:spacing w:after="0" w:line="480" w:lineRule="auto"/>
        <w:rPr>
          <w:rFonts w:ascii="Times New Roman" w:hAnsi="Times New Roman" w:cs="Times New Roman"/>
          <w:sz w:val="24"/>
          <w:szCs w:val="24"/>
        </w:rPr>
      </w:pPr>
    </w:p>
    <w:p w14:paraId="5E90531D" w14:textId="77777777" w:rsidR="007F47E6" w:rsidRPr="00371524" w:rsidRDefault="00585843" w:rsidP="004A6A9E">
      <w:pPr>
        <w:spacing w:after="0" w:line="480" w:lineRule="auto"/>
        <w:rPr>
          <w:rFonts w:ascii="Times New Roman" w:hAnsi="Times New Roman" w:cs="Times New Roman"/>
          <w:sz w:val="24"/>
          <w:szCs w:val="24"/>
        </w:rPr>
      </w:pPr>
      <w:r w:rsidRPr="00371524">
        <w:rPr>
          <w:rFonts w:ascii="Times New Roman" w:hAnsi="Times New Roman" w:cs="Times New Roman"/>
          <w:sz w:val="24"/>
          <w:szCs w:val="24"/>
        </w:rPr>
        <w:tab/>
      </w:r>
      <w:r w:rsidR="009D77CF" w:rsidRPr="00371524">
        <w:rPr>
          <w:rFonts w:ascii="Times New Roman" w:hAnsi="Times New Roman" w:cs="Times New Roman"/>
          <w:sz w:val="24"/>
          <w:szCs w:val="24"/>
        </w:rPr>
        <w:t xml:space="preserve">In a wrongful death case, </w:t>
      </w:r>
      <w:r w:rsidR="003568E2" w:rsidRPr="00371524">
        <w:rPr>
          <w:rFonts w:ascii="Times New Roman" w:hAnsi="Times New Roman" w:cs="Times New Roman"/>
          <w:sz w:val="24"/>
          <w:szCs w:val="24"/>
        </w:rPr>
        <w:t>involving claims of excessiv</w:t>
      </w:r>
      <w:r w:rsidR="00E62118" w:rsidRPr="00371524">
        <w:rPr>
          <w:rFonts w:ascii="Times New Roman" w:hAnsi="Times New Roman" w:cs="Times New Roman"/>
          <w:sz w:val="24"/>
          <w:szCs w:val="24"/>
        </w:rPr>
        <w:t xml:space="preserve">e force by </w:t>
      </w:r>
      <w:r w:rsidR="00AB1CA9" w:rsidRPr="00371524">
        <w:rPr>
          <w:rFonts w:ascii="Times New Roman" w:hAnsi="Times New Roman" w:cs="Times New Roman"/>
          <w:sz w:val="24"/>
          <w:szCs w:val="24"/>
        </w:rPr>
        <w:t xml:space="preserve">Defendant’s employee, </w:t>
      </w:r>
      <w:r w:rsidR="009D77CF" w:rsidRPr="00371524">
        <w:rPr>
          <w:rFonts w:ascii="Times New Roman" w:hAnsi="Times New Roman" w:cs="Times New Roman"/>
          <w:sz w:val="24"/>
          <w:szCs w:val="24"/>
        </w:rPr>
        <w:t xml:space="preserve">we received the following request for admission: </w:t>
      </w:r>
    </w:p>
    <w:p w14:paraId="3DF7C382" w14:textId="77777777" w:rsidR="007F47E6" w:rsidRPr="00371524" w:rsidRDefault="009D77CF" w:rsidP="007F47E6">
      <w:pPr>
        <w:pStyle w:val="ListParagraph"/>
        <w:numPr>
          <w:ilvl w:val="0"/>
          <w:numId w:val="11"/>
        </w:numPr>
        <w:spacing w:after="0" w:line="480" w:lineRule="auto"/>
        <w:rPr>
          <w:rFonts w:ascii="Times New Roman" w:hAnsi="Times New Roman" w:cs="Times New Roman"/>
          <w:sz w:val="24"/>
          <w:szCs w:val="24"/>
        </w:rPr>
      </w:pPr>
      <w:r w:rsidRPr="00371524">
        <w:rPr>
          <w:rFonts w:ascii="Times New Roman" w:hAnsi="Times New Roman" w:cs="Times New Roman"/>
          <w:sz w:val="24"/>
          <w:szCs w:val="24"/>
        </w:rPr>
        <w:t xml:space="preserve">“[Defendant Employee] used excessive force against [Plaintiff’s Decedent].” </w:t>
      </w:r>
    </w:p>
    <w:p w14:paraId="4FBAD311" w14:textId="77777777" w:rsidR="007F47E6" w:rsidRPr="00371524" w:rsidRDefault="009D77CF" w:rsidP="007F47E6">
      <w:pPr>
        <w:pStyle w:val="ListParagraph"/>
        <w:numPr>
          <w:ilvl w:val="0"/>
          <w:numId w:val="11"/>
        </w:numPr>
        <w:spacing w:after="0" w:line="480" w:lineRule="auto"/>
        <w:rPr>
          <w:rFonts w:ascii="Times New Roman" w:hAnsi="Times New Roman" w:cs="Times New Roman"/>
          <w:sz w:val="24"/>
          <w:szCs w:val="24"/>
        </w:rPr>
      </w:pPr>
      <w:r w:rsidRPr="00371524">
        <w:rPr>
          <w:rFonts w:ascii="Times New Roman" w:hAnsi="Times New Roman" w:cs="Times New Roman"/>
          <w:sz w:val="24"/>
          <w:szCs w:val="24"/>
        </w:rPr>
        <w:lastRenderedPageBreak/>
        <w:t>I</w:t>
      </w:r>
      <w:r w:rsidR="00B63D54" w:rsidRPr="00371524">
        <w:rPr>
          <w:rFonts w:ascii="Times New Roman" w:hAnsi="Times New Roman" w:cs="Times New Roman"/>
          <w:sz w:val="24"/>
          <w:szCs w:val="24"/>
        </w:rPr>
        <w:t xml:space="preserve">n response, and after making </w:t>
      </w:r>
      <w:r w:rsidRPr="00371524">
        <w:rPr>
          <w:rFonts w:ascii="Times New Roman" w:hAnsi="Times New Roman" w:cs="Times New Roman"/>
          <w:sz w:val="24"/>
          <w:szCs w:val="24"/>
        </w:rPr>
        <w:t>objection</w:t>
      </w:r>
      <w:r w:rsidR="00B63D54" w:rsidRPr="00371524">
        <w:rPr>
          <w:rFonts w:ascii="Times New Roman" w:hAnsi="Times New Roman" w:cs="Times New Roman"/>
          <w:sz w:val="24"/>
          <w:szCs w:val="24"/>
        </w:rPr>
        <w:t>s</w:t>
      </w:r>
      <w:r w:rsidRPr="00371524">
        <w:rPr>
          <w:rFonts w:ascii="Times New Roman" w:hAnsi="Times New Roman" w:cs="Times New Roman"/>
          <w:sz w:val="24"/>
          <w:szCs w:val="24"/>
        </w:rPr>
        <w:t>, we a</w:t>
      </w:r>
      <w:r w:rsidR="00C438F0" w:rsidRPr="00371524">
        <w:rPr>
          <w:rFonts w:ascii="Times New Roman" w:hAnsi="Times New Roman" w:cs="Times New Roman"/>
          <w:sz w:val="24"/>
          <w:szCs w:val="24"/>
        </w:rPr>
        <w:t xml:space="preserve">dmitted the </w:t>
      </w:r>
      <w:r w:rsidRPr="00371524">
        <w:rPr>
          <w:rFonts w:ascii="Times New Roman" w:hAnsi="Times New Roman" w:cs="Times New Roman"/>
          <w:sz w:val="24"/>
          <w:szCs w:val="24"/>
        </w:rPr>
        <w:t>facts: “[Plaintiff’s decedent] was under the influence of [drugs] when he stole merchandise from [Defendant] and thereafter assaulted [Defendant employees]. Further, according to the documents contained in the files of the medical examiner, the effects of [drugs] include risk taking and aggression</w:t>
      </w:r>
      <w:r w:rsidR="0093529C" w:rsidRPr="00371524">
        <w:rPr>
          <w:rFonts w:ascii="Times New Roman" w:hAnsi="Times New Roman" w:cs="Times New Roman"/>
          <w:sz w:val="24"/>
          <w:szCs w:val="24"/>
        </w:rPr>
        <w:t xml:space="preserve">. Based on the foregoing, [Defendant] denies this request as pled.” </w:t>
      </w:r>
    </w:p>
    <w:p w14:paraId="4977E78E" w14:textId="5CE11D65" w:rsidR="005666D0" w:rsidRDefault="00E41697" w:rsidP="007F47E6">
      <w:pPr>
        <w:spacing w:after="0" w:line="480" w:lineRule="auto"/>
        <w:rPr>
          <w:rFonts w:ascii="Times New Roman" w:hAnsi="Times New Roman" w:cs="Times New Roman"/>
          <w:sz w:val="24"/>
          <w:szCs w:val="24"/>
        </w:rPr>
      </w:pPr>
      <w:r w:rsidRPr="00371524">
        <w:rPr>
          <w:rFonts w:ascii="Times New Roman" w:hAnsi="Times New Roman" w:cs="Times New Roman"/>
          <w:sz w:val="24"/>
          <w:szCs w:val="24"/>
        </w:rPr>
        <w:t xml:space="preserve">The plaintiff attorney asked multiple times for similar admissions and we </w:t>
      </w:r>
      <w:r w:rsidR="00C6081C">
        <w:rPr>
          <w:rFonts w:ascii="Times New Roman" w:hAnsi="Times New Roman" w:cs="Times New Roman"/>
          <w:sz w:val="24"/>
          <w:szCs w:val="24"/>
        </w:rPr>
        <w:t>stuck to the facts that were favorable to our case.</w:t>
      </w:r>
      <w:r w:rsidRPr="00371524">
        <w:rPr>
          <w:rFonts w:ascii="Times New Roman" w:hAnsi="Times New Roman" w:cs="Times New Roman"/>
          <w:sz w:val="24"/>
          <w:szCs w:val="24"/>
        </w:rPr>
        <w:t xml:space="preserve"> </w:t>
      </w:r>
      <w:r w:rsidR="00C76852" w:rsidRPr="00371524">
        <w:rPr>
          <w:rFonts w:ascii="Times New Roman" w:hAnsi="Times New Roman" w:cs="Times New Roman"/>
          <w:sz w:val="24"/>
          <w:szCs w:val="24"/>
        </w:rPr>
        <w:t>However, keep in mind that an “improper response may cause the request to be deemed admitted or the imposition of other sanctions.”</w:t>
      </w:r>
      <w:r w:rsidR="001320D5" w:rsidRPr="00371524">
        <w:rPr>
          <w:rFonts w:ascii="Times New Roman" w:hAnsi="Times New Roman" w:cs="Times New Roman"/>
          <w:sz w:val="24"/>
          <w:szCs w:val="24"/>
        </w:rPr>
        <w:t xml:space="preserve"> Paul W. Grimm et al., </w:t>
      </w:r>
      <w:r w:rsidR="001320D5" w:rsidRPr="00371524">
        <w:rPr>
          <w:rFonts w:ascii="Times New Roman" w:hAnsi="Times New Roman" w:cs="Times New Roman"/>
          <w:i/>
          <w:sz w:val="24"/>
          <w:szCs w:val="24"/>
        </w:rPr>
        <w:t>Discovery Problems and Their Solutions</w:t>
      </w:r>
      <w:r w:rsidR="001320D5" w:rsidRPr="00371524">
        <w:rPr>
          <w:rFonts w:ascii="Times New Roman" w:hAnsi="Times New Roman" w:cs="Times New Roman"/>
          <w:sz w:val="24"/>
          <w:szCs w:val="24"/>
        </w:rPr>
        <w:t>,</w:t>
      </w:r>
      <w:r w:rsidR="001320D5" w:rsidRPr="00371524">
        <w:rPr>
          <w:rFonts w:ascii="Times New Roman" w:hAnsi="Times New Roman" w:cs="Times New Roman"/>
          <w:i/>
          <w:sz w:val="24"/>
          <w:szCs w:val="24"/>
        </w:rPr>
        <w:t xml:space="preserve"> </w:t>
      </w:r>
      <w:r w:rsidR="001320D5" w:rsidRPr="00371524">
        <w:rPr>
          <w:rFonts w:ascii="Times New Roman" w:hAnsi="Times New Roman" w:cs="Times New Roman"/>
          <w:sz w:val="24"/>
          <w:szCs w:val="24"/>
        </w:rPr>
        <w:t xml:space="preserve">34 (3d. ed. 2014). </w:t>
      </w:r>
      <w:r w:rsidR="00EF7970" w:rsidRPr="00371524">
        <w:rPr>
          <w:rFonts w:ascii="Times New Roman" w:hAnsi="Times New Roman" w:cs="Times New Roman"/>
          <w:sz w:val="24"/>
          <w:szCs w:val="24"/>
        </w:rPr>
        <w:t>In addition,</w:t>
      </w:r>
      <w:r w:rsidR="00270974">
        <w:rPr>
          <w:rFonts w:ascii="Times New Roman" w:hAnsi="Times New Roman" w:cs="Times New Roman"/>
          <w:sz w:val="24"/>
          <w:szCs w:val="24"/>
        </w:rPr>
        <w:t xml:space="preserve"> be sure that your client did not make</w:t>
      </w:r>
      <w:r w:rsidR="00EF7970" w:rsidRPr="00371524">
        <w:rPr>
          <w:rFonts w:ascii="Times New Roman" w:hAnsi="Times New Roman" w:cs="Times New Roman"/>
          <w:sz w:val="24"/>
          <w:szCs w:val="24"/>
        </w:rPr>
        <w:t xml:space="preserve"> a </w:t>
      </w:r>
      <w:r w:rsidR="002D016D" w:rsidRPr="00371524">
        <w:rPr>
          <w:rFonts w:ascii="Times New Roman" w:hAnsi="Times New Roman" w:cs="Times New Roman"/>
          <w:sz w:val="24"/>
          <w:szCs w:val="24"/>
        </w:rPr>
        <w:t>“</w:t>
      </w:r>
      <w:r w:rsidR="00EF7970" w:rsidRPr="00371524">
        <w:rPr>
          <w:rFonts w:ascii="Times New Roman" w:hAnsi="Times New Roman" w:cs="Times New Roman"/>
          <w:sz w:val="24"/>
          <w:szCs w:val="24"/>
        </w:rPr>
        <w:t>binding admission in another place,</w:t>
      </w:r>
      <w:r w:rsidR="002D016D" w:rsidRPr="00371524">
        <w:rPr>
          <w:rFonts w:ascii="Times New Roman" w:hAnsi="Times New Roman" w:cs="Times New Roman"/>
          <w:sz w:val="24"/>
          <w:szCs w:val="24"/>
        </w:rPr>
        <w:t>”</w:t>
      </w:r>
      <w:r w:rsidR="00EF7970" w:rsidRPr="00371524">
        <w:rPr>
          <w:rFonts w:ascii="Times New Roman" w:hAnsi="Times New Roman" w:cs="Times New Roman"/>
          <w:sz w:val="24"/>
          <w:szCs w:val="24"/>
        </w:rPr>
        <w:t xml:space="preserve"> such as a document or a policy and procedure. </w:t>
      </w:r>
      <w:r w:rsidR="00364B13" w:rsidRPr="00371524">
        <w:rPr>
          <w:rFonts w:ascii="Times New Roman" w:hAnsi="Times New Roman" w:cs="Times New Roman"/>
          <w:i/>
          <w:sz w:val="24"/>
          <w:szCs w:val="24"/>
        </w:rPr>
        <w:t>Id.</w:t>
      </w:r>
      <w:r w:rsidR="00364B13" w:rsidRPr="00371524">
        <w:rPr>
          <w:rFonts w:ascii="Times New Roman" w:hAnsi="Times New Roman" w:cs="Times New Roman"/>
          <w:sz w:val="24"/>
          <w:szCs w:val="24"/>
        </w:rPr>
        <w:t xml:space="preserve"> </w:t>
      </w:r>
      <w:r w:rsidR="00EF7970" w:rsidRPr="00371524">
        <w:rPr>
          <w:rFonts w:ascii="Times New Roman" w:hAnsi="Times New Roman" w:cs="Times New Roman"/>
          <w:sz w:val="24"/>
          <w:szCs w:val="24"/>
        </w:rPr>
        <w:t xml:space="preserve">Reptile plaintiff attorneys will seize on inconsistencies to show that your client is a liar. </w:t>
      </w:r>
    </w:p>
    <w:p w14:paraId="7767F6F9" w14:textId="77777777" w:rsidR="00B80F94" w:rsidRDefault="00B80F94" w:rsidP="007F47E6">
      <w:pPr>
        <w:spacing w:after="0" w:line="480" w:lineRule="auto"/>
        <w:rPr>
          <w:rFonts w:ascii="Times New Roman" w:hAnsi="Times New Roman" w:cs="Times New Roman"/>
          <w:sz w:val="24"/>
          <w:szCs w:val="24"/>
        </w:rPr>
      </w:pPr>
    </w:p>
    <w:p w14:paraId="6A7A9D6C" w14:textId="613390B9" w:rsidR="00B80F94" w:rsidRPr="00D269C8" w:rsidRDefault="00B80F94" w:rsidP="00B80F94">
      <w:pPr>
        <w:pStyle w:val="ListParagraph"/>
        <w:numPr>
          <w:ilvl w:val="0"/>
          <w:numId w:val="2"/>
        </w:numPr>
        <w:spacing w:line="480" w:lineRule="auto"/>
        <w:rPr>
          <w:rFonts w:ascii="Times New Roman" w:hAnsi="Times New Roman" w:cs="Times New Roman"/>
          <w:b/>
          <w:sz w:val="24"/>
          <w:szCs w:val="24"/>
        </w:rPr>
      </w:pPr>
      <w:r w:rsidRPr="00D269C8">
        <w:rPr>
          <w:rFonts w:ascii="Times New Roman" w:hAnsi="Times New Roman" w:cs="Times New Roman"/>
          <w:b/>
          <w:sz w:val="24"/>
          <w:szCs w:val="24"/>
        </w:rPr>
        <w:t>Assert timely objections to Reptile 30(b)(6) deposition topics.</w:t>
      </w:r>
    </w:p>
    <w:p w14:paraId="777AA621" w14:textId="1A36620E" w:rsidR="00B80F94" w:rsidRDefault="008C1322" w:rsidP="00B80F94">
      <w:pPr>
        <w:spacing w:line="480" w:lineRule="auto"/>
        <w:rPr>
          <w:rFonts w:ascii="Times New Roman" w:hAnsi="Times New Roman" w:cs="Times New Roman"/>
          <w:sz w:val="24"/>
          <w:szCs w:val="24"/>
        </w:rPr>
      </w:pPr>
      <w:r>
        <w:rPr>
          <w:rFonts w:ascii="Times New Roman" w:hAnsi="Times New Roman" w:cs="Times New Roman"/>
          <w:sz w:val="24"/>
          <w:szCs w:val="24"/>
        </w:rPr>
        <w:tab/>
      </w:r>
      <w:r w:rsidRPr="00371524">
        <w:rPr>
          <w:rFonts w:ascii="Times New Roman" w:hAnsi="Times New Roman" w:cs="Times New Roman"/>
          <w:sz w:val="24"/>
          <w:szCs w:val="24"/>
        </w:rPr>
        <w:t>The Reptile plaintiff attorney</w:t>
      </w:r>
      <w:r>
        <w:rPr>
          <w:rFonts w:ascii="Times New Roman" w:hAnsi="Times New Roman" w:cs="Times New Roman"/>
          <w:sz w:val="24"/>
          <w:szCs w:val="24"/>
        </w:rPr>
        <w:t xml:space="preserve"> desires little more than to place your client’s corporate representative in the cross-hairs during her deposition.  Every opportunity to advocate facts and context that supports your client’s narrative of the case should be taken, and this includes asserting written objections to opposing counsel’s topics for deposing the corporate representative.  In this setting, the Reptile attorney is likely to show his hand through the topics he presents in seeking the deposition.  For instance, the Reptile attorney may seek to turn the focus in the most basic of slip/fall cases away from the question of equal or superior knowledge of an alleged hazard, and toward extraneous and irrelevant issues relating to document retention and other internal policies, to distract, confuse, and mislead the court and jury</w:t>
      </w:r>
      <w:r w:rsidR="00C84E26">
        <w:rPr>
          <w:rFonts w:ascii="Times New Roman" w:hAnsi="Times New Roman" w:cs="Times New Roman"/>
          <w:sz w:val="24"/>
          <w:szCs w:val="24"/>
        </w:rPr>
        <w:t>, and to create questions and doubts on irrelevant matters in the minds of the jurors</w:t>
      </w:r>
      <w:r>
        <w:rPr>
          <w:rFonts w:ascii="Times New Roman" w:hAnsi="Times New Roman" w:cs="Times New Roman"/>
          <w:sz w:val="24"/>
          <w:szCs w:val="24"/>
        </w:rPr>
        <w:t xml:space="preserve">.  Alternatively, the Reptile attorney may even overtly seek opinions on legal issues reserved for the fact-finder </w:t>
      </w:r>
      <w:r w:rsidR="00C84E26">
        <w:rPr>
          <w:rFonts w:ascii="Times New Roman" w:hAnsi="Times New Roman" w:cs="Times New Roman"/>
          <w:sz w:val="24"/>
          <w:szCs w:val="24"/>
        </w:rPr>
        <w:t>such as liability, or try to delve into defenses beyond facts and into legal strategy.  If any such topics arise in the list presented by counsel for the 30(b)(6), we object on legal grounds with reference to factual context and advocate the reasonable position that irrelevant and improper topics of deposition discovery amount to knowing efforts to exceed the proper scope of discovery.</w:t>
      </w:r>
      <w:r w:rsidR="00A833F2">
        <w:rPr>
          <w:rStyle w:val="FootnoteReference"/>
          <w:rFonts w:ascii="Times New Roman" w:hAnsi="Times New Roman" w:cs="Times New Roman"/>
          <w:sz w:val="24"/>
          <w:szCs w:val="24"/>
        </w:rPr>
        <w:footnoteReference w:id="7"/>
      </w:r>
      <w:r w:rsidR="00C84E26">
        <w:rPr>
          <w:rFonts w:ascii="Times New Roman" w:hAnsi="Times New Roman" w:cs="Times New Roman"/>
          <w:sz w:val="24"/>
          <w:szCs w:val="24"/>
        </w:rPr>
        <w:t xml:space="preserve">  </w:t>
      </w:r>
    </w:p>
    <w:p w14:paraId="18DA2334" w14:textId="1D0169A6" w:rsidR="00C84E26" w:rsidRDefault="00C84E26" w:rsidP="00B80F94">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For instance, where a Plaintiff attorney sought to depose the corporate designee on the corporate defendant’s “knowledge, position, and opinions of liability regarding the subject fall and Plaintiff’s injuries,” we objected on multiple grounds, such as: </w:t>
      </w:r>
    </w:p>
    <w:p w14:paraId="5A3ED687" w14:textId="3A0B7F04" w:rsidR="00C84E26" w:rsidRDefault="00C84E26" w:rsidP="00C84E26">
      <w:pPr>
        <w:pStyle w:val="ListParagraph"/>
        <w:numPr>
          <w:ilvl w:val="0"/>
          <w:numId w:val="11"/>
        </w:num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The improper invasion of the province reserved to the fact-finder as to ultimate issues in the case.  </w:t>
      </w:r>
    </w:p>
    <w:p w14:paraId="5D5A6527" w14:textId="6A5E4CF8" w:rsidR="00835CD7" w:rsidRDefault="00835CD7" w:rsidP="00C84E26">
      <w:pPr>
        <w:pStyle w:val="ListParagraph"/>
        <w:numPr>
          <w:ilvl w:val="0"/>
          <w:numId w:val="11"/>
        </w:numPr>
        <w:spacing w:after="0" w:line="480" w:lineRule="auto"/>
        <w:rPr>
          <w:rFonts w:ascii="Times New Roman" w:hAnsi="Times New Roman" w:cs="Times New Roman"/>
          <w:sz w:val="24"/>
          <w:szCs w:val="24"/>
        </w:rPr>
      </w:pPr>
      <w:r>
        <w:rPr>
          <w:rFonts w:ascii="Times New Roman" w:hAnsi="Times New Roman" w:cs="Times New Roman"/>
          <w:sz w:val="24"/>
          <w:szCs w:val="24"/>
        </w:rPr>
        <w:t>Legal positions of a party defendant are appropriately limited to the initial responsive pleading filed in answer to the complaint.</w:t>
      </w:r>
    </w:p>
    <w:p w14:paraId="3EBBABB2" w14:textId="67402786" w:rsidR="00835CD7" w:rsidRDefault="00835CD7" w:rsidP="00835CD7">
      <w:pPr>
        <w:pStyle w:val="ListParagraph"/>
        <w:numPr>
          <w:ilvl w:val="0"/>
          <w:numId w:val="11"/>
        </w:numPr>
        <w:spacing w:after="0" w:line="480" w:lineRule="auto"/>
        <w:rPr>
          <w:rFonts w:ascii="Times New Roman" w:hAnsi="Times New Roman" w:cs="Times New Roman"/>
          <w:sz w:val="24"/>
          <w:szCs w:val="24"/>
        </w:rPr>
      </w:pPr>
      <w:r>
        <w:rPr>
          <w:rFonts w:ascii="Times New Roman" w:hAnsi="Times New Roman" w:cs="Times New Roman"/>
          <w:sz w:val="24"/>
          <w:szCs w:val="24"/>
        </w:rPr>
        <w:t>Seeking of “opinions of liability” is a clear violation of the scope of Rule 26 discovery because it can only be “</w:t>
      </w:r>
      <w:r w:rsidRPr="00835CD7">
        <w:rPr>
          <w:rFonts w:ascii="Times New Roman" w:hAnsi="Times New Roman" w:cs="Times New Roman"/>
          <w:sz w:val="24"/>
          <w:szCs w:val="24"/>
        </w:rPr>
        <w:t>seeking disclosure of the mental impressions, conclusions, opinions, or legal theories of defense counsel or other representative</w:t>
      </w:r>
      <w:r>
        <w:rPr>
          <w:rFonts w:ascii="Times New Roman" w:hAnsi="Times New Roman" w:cs="Times New Roman"/>
          <w:sz w:val="24"/>
          <w:szCs w:val="24"/>
        </w:rPr>
        <w:t xml:space="preserve"> of the party.”  </w:t>
      </w:r>
    </w:p>
    <w:p w14:paraId="0F8D7011" w14:textId="3A68B025" w:rsidR="00D7056D" w:rsidRDefault="00D7056D" w:rsidP="00D7056D">
      <w:pPr>
        <w:pStyle w:val="ListParagraph"/>
        <w:numPr>
          <w:ilvl w:val="0"/>
          <w:numId w:val="11"/>
        </w:num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Attempting to compel a party </w:t>
      </w:r>
      <w:r w:rsidRPr="00D7056D">
        <w:rPr>
          <w:rFonts w:ascii="Times New Roman" w:hAnsi="Times New Roman" w:cs="Times New Roman"/>
          <w:sz w:val="24"/>
          <w:szCs w:val="24"/>
        </w:rPr>
        <w:t>to proffer positions and opinions in response to hypothetical questions lacking relevance to the legal issues in th</w:t>
      </w:r>
      <w:r>
        <w:rPr>
          <w:rFonts w:ascii="Times New Roman" w:hAnsi="Times New Roman" w:cs="Times New Roman"/>
          <w:sz w:val="24"/>
          <w:szCs w:val="24"/>
        </w:rPr>
        <w:t>e</w:t>
      </w:r>
      <w:r w:rsidRPr="00D7056D">
        <w:rPr>
          <w:rFonts w:ascii="Times New Roman" w:hAnsi="Times New Roman" w:cs="Times New Roman"/>
          <w:sz w:val="24"/>
          <w:szCs w:val="24"/>
        </w:rPr>
        <w:t xml:space="preserve"> case or in response to other irrelevant questions</w:t>
      </w:r>
      <w:r>
        <w:rPr>
          <w:rFonts w:ascii="Times New Roman" w:hAnsi="Times New Roman" w:cs="Times New Roman"/>
          <w:sz w:val="24"/>
          <w:szCs w:val="24"/>
        </w:rPr>
        <w:t xml:space="preserve"> </w:t>
      </w:r>
      <w:r w:rsidR="009F11E5">
        <w:rPr>
          <w:rFonts w:ascii="Times New Roman" w:hAnsi="Times New Roman" w:cs="Times New Roman"/>
          <w:sz w:val="24"/>
          <w:szCs w:val="24"/>
        </w:rPr>
        <w:t>is</w:t>
      </w:r>
      <w:r>
        <w:rPr>
          <w:rFonts w:ascii="Times New Roman" w:hAnsi="Times New Roman" w:cs="Times New Roman"/>
          <w:sz w:val="24"/>
          <w:szCs w:val="24"/>
        </w:rPr>
        <w:t xml:space="preserve"> wholly improper, as such efforts run counter to the 30(b)(6) framework itself, where the trade-off is the party seeking the testimony must provide tailored, intelligible topics, and in exchange, the party giving the testimony is obligated to appropriately prepare its corporate designee to address those topics under oath.</w:t>
      </w:r>
    </w:p>
    <w:p w14:paraId="3D73E109" w14:textId="2EC5C3A8" w:rsidR="00D7056D" w:rsidRDefault="006662C7" w:rsidP="00D7056D">
      <w:pPr>
        <w:pStyle w:val="ListParagraph"/>
        <w:numPr>
          <w:ilvl w:val="0"/>
          <w:numId w:val="11"/>
        </w:num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The use of the topics to advance the </w:t>
      </w:r>
      <w:r w:rsidR="00D7056D" w:rsidRPr="00D7056D">
        <w:rPr>
          <w:rFonts w:ascii="Times New Roman" w:hAnsi="Times New Roman" w:cs="Times New Roman"/>
          <w:sz w:val="24"/>
          <w:szCs w:val="24"/>
        </w:rPr>
        <w:t xml:space="preserve">disingenuous Reptile strategy </w:t>
      </w:r>
      <w:r>
        <w:rPr>
          <w:rFonts w:ascii="Times New Roman" w:hAnsi="Times New Roman" w:cs="Times New Roman"/>
          <w:sz w:val="24"/>
          <w:szCs w:val="24"/>
        </w:rPr>
        <w:t xml:space="preserve">is merely part of an effort by the Reptile attorney to </w:t>
      </w:r>
      <w:r w:rsidR="00D7056D" w:rsidRPr="00D7056D">
        <w:rPr>
          <w:rFonts w:ascii="Times New Roman" w:hAnsi="Times New Roman" w:cs="Times New Roman"/>
          <w:sz w:val="24"/>
          <w:szCs w:val="24"/>
        </w:rPr>
        <w:t>confuse and mislead jurors in violation of applicable law.</w:t>
      </w:r>
    </w:p>
    <w:p w14:paraId="1C987E66" w14:textId="6E6E97F2" w:rsidR="00B80F94" w:rsidRDefault="00835CD7" w:rsidP="00B80F94">
      <w:pPr>
        <w:spacing w:line="480" w:lineRule="auto"/>
        <w:rPr>
          <w:rFonts w:ascii="Times New Roman" w:hAnsi="Times New Roman" w:cs="Times New Roman"/>
          <w:sz w:val="24"/>
          <w:szCs w:val="24"/>
        </w:rPr>
      </w:pPr>
      <w:r>
        <w:rPr>
          <w:rFonts w:ascii="Times New Roman" w:hAnsi="Times New Roman" w:cs="Times New Roman"/>
          <w:sz w:val="24"/>
          <w:szCs w:val="24"/>
        </w:rPr>
        <w:t>Under Georgia’s version of Rule 26, the party defendant’</w:t>
      </w:r>
      <w:r w:rsidR="00D7056D">
        <w:rPr>
          <w:rFonts w:ascii="Times New Roman" w:hAnsi="Times New Roman" w:cs="Times New Roman"/>
          <w:sz w:val="24"/>
          <w:szCs w:val="24"/>
        </w:rPr>
        <w:t xml:space="preserve">s mental impressions, etc., are protected from discovery just as those of the party’s attorneys are.  </w:t>
      </w:r>
      <w:r w:rsidR="002050C4">
        <w:rPr>
          <w:rFonts w:ascii="Times New Roman" w:hAnsi="Times New Roman" w:cs="Times New Roman"/>
          <w:sz w:val="24"/>
          <w:szCs w:val="24"/>
        </w:rPr>
        <w:t xml:space="preserve">The corporate defendant is under no obligation to develop non-existent “opinions” regarding the ultimate legal issues for the purpose of answering Reptile questions in a 30(b)(6) deposition.  </w:t>
      </w:r>
      <w:r w:rsidR="00DA712A">
        <w:rPr>
          <w:rFonts w:ascii="Times New Roman" w:hAnsi="Times New Roman" w:cs="Times New Roman"/>
          <w:sz w:val="24"/>
          <w:szCs w:val="24"/>
        </w:rPr>
        <w:t>Asserting your objections in a timely written response to the 30(b)(6) notice allows you to assert control over the scope of discovery, helps to prevent the Reptile approach from being employed against your corporate representative, and allows the defense to push back against the Reptile’s wiles.</w:t>
      </w:r>
    </w:p>
    <w:p w14:paraId="6614A0B5" w14:textId="77777777" w:rsidR="00C84E26" w:rsidRPr="00B80F94" w:rsidRDefault="00C84E26" w:rsidP="00B80F94">
      <w:pPr>
        <w:spacing w:line="480" w:lineRule="auto"/>
        <w:rPr>
          <w:rFonts w:ascii="Times New Roman" w:hAnsi="Times New Roman" w:cs="Times New Roman"/>
          <w:sz w:val="24"/>
          <w:szCs w:val="24"/>
        </w:rPr>
      </w:pPr>
    </w:p>
    <w:p w14:paraId="7A5469C4" w14:textId="1D6428FE" w:rsidR="00B80F94" w:rsidRPr="00D269C8" w:rsidRDefault="00B80F94" w:rsidP="00B80F94">
      <w:pPr>
        <w:pStyle w:val="ListParagraph"/>
        <w:numPr>
          <w:ilvl w:val="0"/>
          <w:numId w:val="2"/>
        </w:numPr>
        <w:spacing w:line="480" w:lineRule="auto"/>
        <w:rPr>
          <w:rFonts w:ascii="Times New Roman" w:hAnsi="Times New Roman" w:cs="Times New Roman"/>
          <w:b/>
          <w:sz w:val="24"/>
          <w:szCs w:val="24"/>
        </w:rPr>
      </w:pPr>
      <w:r w:rsidRPr="00D269C8">
        <w:rPr>
          <w:rFonts w:ascii="Times New Roman" w:hAnsi="Times New Roman" w:cs="Times New Roman"/>
          <w:b/>
          <w:sz w:val="24"/>
          <w:szCs w:val="24"/>
        </w:rPr>
        <w:t>Lay groundwork from the outset of the litigation to prepare for trial, and to make the most of opportunities to inform the trial court that the Reptile is lurking.</w:t>
      </w:r>
    </w:p>
    <w:p w14:paraId="26855CD6" w14:textId="060AE095" w:rsidR="00B80F94" w:rsidRPr="00B80F94" w:rsidRDefault="0076721A" w:rsidP="00B80F94">
      <w:pPr>
        <w:spacing w:line="480" w:lineRule="auto"/>
        <w:rPr>
          <w:rFonts w:ascii="Times New Roman" w:hAnsi="Times New Roman" w:cs="Times New Roman"/>
          <w:sz w:val="24"/>
          <w:szCs w:val="24"/>
        </w:rPr>
      </w:pPr>
      <w:r>
        <w:rPr>
          <w:rFonts w:ascii="Times New Roman" w:hAnsi="Times New Roman" w:cs="Times New Roman"/>
          <w:sz w:val="24"/>
          <w:szCs w:val="24"/>
        </w:rPr>
        <w:tab/>
        <w:t>In the setting of commercial drivers and trucking cases, Reptile attorneys often attempt to argue for an increased or heightened standard of care upon the corporate defendant and its employee driver.  During the last few years, a number of rulings have issued in the context of motions in limine, addressing the Reptile theory, “scare tactics,” the “conscience of the community”</w:t>
      </w:r>
      <w:r w:rsidR="007912BD">
        <w:rPr>
          <w:rStyle w:val="FootnoteReference"/>
          <w:rFonts w:ascii="Times New Roman" w:hAnsi="Times New Roman" w:cs="Times New Roman"/>
          <w:sz w:val="24"/>
          <w:szCs w:val="24"/>
        </w:rPr>
        <w:footnoteReference w:id="8"/>
      </w:r>
      <w:r>
        <w:rPr>
          <w:rFonts w:ascii="Times New Roman" w:hAnsi="Times New Roman" w:cs="Times New Roman"/>
          <w:sz w:val="24"/>
          <w:szCs w:val="24"/>
        </w:rPr>
        <w:t xml:space="preserve"> theory, and the “safety rules” approach.  Sometimes the courts grant the motion in limine on these theories,</w:t>
      </w:r>
      <w:r w:rsidR="004B6FD8">
        <w:rPr>
          <w:rStyle w:val="FootnoteReference"/>
          <w:rFonts w:ascii="Times New Roman" w:hAnsi="Times New Roman" w:cs="Times New Roman"/>
          <w:sz w:val="24"/>
          <w:szCs w:val="24"/>
        </w:rPr>
        <w:footnoteReference w:id="9"/>
      </w:r>
      <w:r>
        <w:rPr>
          <w:rFonts w:ascii="Times New Roman" w:hAnsi="Times New Roman" w:cs="Times New Roman"/>
          <w:sz w:val="24"/>
          <w:szCs w:val="24"/>
        </w:rPr>
        <w:t xml:space="preserve"> and sometimes they do not,</w:t>
      </w:r>
      <w:r w:rsidR="00E72295">
        <w:rPr>
          <w:rStyle w:val="FootnoteReference"/>
          <w:rFonts w:ascii="Times New Roman" w:hAnsi="Times New Roman" w:cs="Times New Roman"/>
          <w:sz w:val="24"/>
          <w:szCs w:val="24"/>
        </w:rPr>
        <w:footnoteReference w:id="10"/>
      </w:r>
      <w:r>
        <w:rPr>
          <w:rFonts w:ascii="Times New Roman" w:hAnsi="Times New Roman" w:cs="Times New Roman"/>
          <w:sz w:val="24"/>
          <w:szCs w:val="24"/>
        </w:rPr>
        <w:t xml:space="preserve"> but there are at least two important lessons to be drawn regardless of how a court may have ruled in a specific case.  First, </w:t>
      </w:r>
      <w:r w:rsidR="00B5661B">
        <w:rPr>
          <w:rFonts w:ascii="Times New Roman" w:hAnsi="Times New Roman" w:cs="Times New Roman"/>
          <w:sz w:val="24"/>
          <w:szCs w:val="24"/>
        </w:rPr>
        <w:t>timeliness</w:t>
      </w:r>
      <w:r w:rsidR="006016BA">
        <w:rPr>
          <w:rStyle w:val="FootnoteReference"/>
          <w:rFonts w:ascii="Times New Roman" w:hAnsi="Times New Roman" w:cs="Times New Roman"/>
          <w:sz w:val="24"/>
          <w:szCs w:val="24"/>
        </w:rPr>
        <w:footnoteReference w:id="11"/>
      </w:r>
      <w:r w:rsidR="00B5661B">
        <w:rPr>
          <w:rFonts w:ascii="Times New Roman" w:hAnsi="Times New Roman" w:cs="Times New Roman"/>
          <w:sz w:val="24"/>
          <w:szCs w:val="24"/>
        </w:rPr>
        <w:t xml:space="preserve"> and specificity</w:t>
      </w:r>
      <w:r w:rsidR="00B55E62">
        <w:rPr>
          <w:rStyle w:val="FootnoteReference"/>
          <w:rFonts w:ascii="Times New Roman" w:hAnsi="Times New Roman" w:cs="Times New Roman"/>
          <w:sz w:val="24"/>
          <w:szCs w:val="24"/>
        </w:rPr>
        <w:footnoteReference w:id="12"/>
      </w:r>
      <w:r w:rsidR="00B5661B">
        <w:rPr>
          <w:rFonts w:ascii="Times New Roman" w:hAnsi="Times New Roman" w:cs="Times New Roman"/>
          <w:sz w:val="24"/>
          <w:szCs w:val="24"/>
        </w:rPr>
        <w:t xml:space="preserve"> are key.  Second, even in many instances where the court defers ruling on such a motion in limine, defense counsel has taken the opportunity to inform and educate the trial judge about the Reptile attorney’s business plan of </w:t>
      </w:r>
      <w:r w:rsidR="00B5661B">
        <w:rPr>
          <w:rFonts w:ascii="Times New Roman" w:hAnsi="Times New Roman" w:cs="Times New Roman"/>
          <w:sz w:val="24"/>
          <w:szCs w:val="24"/>
        </w:rPr>
        <w:t>intentionally</w:t>
      </w:r>
      <w:r w:rsidR="00B5661B">
        <w:rPr>
          <w:rFonts w:ascii="Times New Roman" w:hAnsi="Times New Roman" w:cs="Times New Roman"/>
          <w:sz w:val="24"/>
          <w:szCs w:val="24"/>
        </w:rPr>
        <w:t xml:space="preserve"> attempting to provoke jury prejudice, fear, and sympathy.</w:t>
      </w:r>
      <w:r w:rsidR="00C34B06">
        <w:rPr>
          <w:rStyle w:val="FootnoteReference"/>
          <w:rFonts w:ascii="Times New Roman" w:hAnsi="Times New Roman" w:cs="Times New Roman"/>
          <w:sz w:val="24"/>
          <w:szCs w:val="24"/>
        </w:rPr>
        <w:footnoteReference w:id="13"/>
      </w:r>
      <w:r w:rsidR="00B603DE" w:rsidRPr="00B603DE">
        <w:rPr>
          <w:rFonts w:ascii="Times New Roman" w:hAnsi="Times New Roman" w:cs="Times New Roman"/>
          <w:sz w:val="24"/>
          <w:szCs w:val="24"/>
          <w:vertAlign w:val="superscript"/>
        </w:rPr>
        <w:t>,</w:t>
      </w:r>
      <w:r w:rsidR="00B603DE">
        <w:rPr>
          <w:rStyle w:val="FootnoteReference"/>
          <w:rFonts w:ascii="Times New Roman" w:hAnsi="Times New Roman" w:cs="Times New Roman"/>
          <w:sz w:val="24"/>
          <w:szCs w:val="24"/>
        </w:rPr>
        <w:footnoteReference w:id="14"/>
      </w:r>
      <w:r w:rsidR="00B5661B">
        <w:rPr>
          <w:rFonts w:ascii="Times New Roman" w:hAnsi="Times New Roman" w:cs="Times New Roman"/>
          <w:sz w:val="24"/>
          <w:szCs w:val="24"/>
        </w:rPr>
        <w:t xml:space="preserve">  </w:t>
      </w:r>
    </w:p>
    <w:p w14:paraId="614A388A" w14:textId="0BA58642" w:rsidR="00B80F94" w:rsidRPr="00371524" w:rsidRDefault="00B80F94" w:rsidP="00AC5A3C">
      <w:pPr>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ab/>
      </w:r>
    </w:p>
    <w:p w14:paraId="299A10FF" w14:textId="168AD743" w:rsidR="00BF5B9F" w:rsidRPr="00371524" w:rsidRDefault="00BF5B9F" w:rsidP="00BF5B9F">
      <w:pPr>
        <w:spacing w:after="0" w:line="480" w:lineRule="auto"/>
        <w:jc w:val="center"/>
        <w:rPr>
          <w:rFonts w:ascii="Times New Roman" w:hAnsi="Times New Roman" w:cs="Times New Roman"/>
          <w:sz w:val="24"/>
          <w:szCs w:val="24"/>
        </w:rPr>
      </w:pPr>
      <w:r w:rsidRPr="00371524">
        <w:rPr>
          <w:rFonts w:ascii="Times New Roman" w:hAnsi="Times New Roman" w:cs="Times New Roman"/>
          <w:b/>
          <w:sz w:val="24"/>
          <w:szCs w:val="24"/>
          <w:u w:val="single"/>
        </w:rPr>
        <w:t>Conclusion</w:t>
      </w:r>
    </w:p>
    <w:p w14:paraId="17FB1CB0" w14:textId="017055F8" w:rsidR="005666D0" w:rsidRPr="00371524" w:rsidRDefault="00BF5B9F" w:rsidP="005666D0">
      <w:pPr>
        <w:spacing w:after="0" w:line="480" w:lineRule="auto"/>
        <w:rPr>
          <w:rFonts w:ascii="Times New Roman" w:hAnsi="Times New Roman" w:cs="Times New Roman"/>
          <w:sz w:val="24"/>
          <w:szCs w:val="24"/>
        </w:rPr>
      </w:pPr>
      <w:r w:rsidRPr="00371524">
        <w:rPr>
          <w:rFonts w:ascii="Times New Roman" w:hAnsi="Times New Roman" w:cs="Times New Roman"/>
          <w:sz w:val="24"/>
          <w:szCs w:val="24"/>
        </w:rPr>
        <w:tab/>
        <w:t>The Reptile plaintiff attorney wants to convince the jury that your clie</w:t>
      </w:r>
      <w:r w:rsidR="002574FE" w:rsidRPr="00371524">
        <w:rPr>
          <w:rFonts w:ascii="Times New Roman" w:hAnsi="Times New Roman" w:cs="Times New Roman"/>
          <w:sz w:val="24"/>
          <w:szCs w:val="24"/>
        </w:rPr>
        <w:t>nt is endangering the communit</w:t>
      </w:r>
      <w:r w:rsidR="00A75CC6" w:rsidRPr="00371524">
        <w:rPr>
          <w:rFonts w:ascii="Times New Roman" w:hAnsi="Times New Roman" w:cs="Times New Roman"/>
          <w:sz w:val="24"/>
          <w:szCs w:val="24"/>
        </w:rPr>
        <w:t xml:space="preserve">y. They will do this by getting your client to agree to an umbrella safety rule; next, they will have your client </w:t>
      </w:r>
      <w:r w:rsidR="00B95D62" w:rsidRPr="00371524">
        <w:rPr>
          <w:rFonts w:ascii="Times New Roman" w:hAnsi="Times New Roman" w:cs="Times New Roman"/>
          <w:sz w:val="24"/>
          <w:szCs w:val="24"/>
        </w:rPr>
        <w:t xml:space="preserve">agree that they violated a specific safety rule; and, finally, they will spread the “tentacles of danger” to show that your client </w:t>
      </w:r>
      <w:r w:rsidR="007F3D72" w:rsidRPr="00371524">
        <w:rPr>
          <w:rFonts w:ascii="Times New Roman" w:hAnsi="Times New Roman" w:cs="Times New Roman"/>
          <w:sz w:val="24"/>
          <w:szCs w:val="24"/>
        </w:rPr>
        <w:t>viola</w:t>
      </w:r>
      <w:r w:rsidR="00D4293A" w:rsidRPr="00371524">
        <w:rPr>
          <w:rFonts w:ascii="Times New Roman" w:hAnsi="Times New Roman" w:cs="Times New Roman"/>
          <w:sz w:val="24"/>
          <w:szCs w:val="24"/>
        </w:rPr>
        <w:t>te</w:t>
      </w:r>
      <w:r w:rsidR="007F47E6" w:rsidRPr="00371524">
        <w:rPr>
          <w:rFonts w:ascii="Times New Roman" w:hAnsi="Times New Roman" w:cs="Times New Roman"/>
          <w:sz w:val="24"/>
          <w:szCs w:val="24"/>
        </w:rPr>
        <w:t>s</w:t>
      </w:r>
      <w:r w:rsidR="007F3D72" w:rsidRPr="00371524">
        <w:rPr>
          <w:rFonts w:ascii="Times New Roman" w:hAnsi="Times New Roman" w:cs="Times New Roman"/>
          <w:sz w:val="24"/>
          <w:szCs w:val="24"/>
        </w:rPr>
        <w:t xml:space="preserve"> safety rules</w:t>
      </w:r>
      <w:r w:rsidR="007F47E6" w:rsidRPr="00371524">
        <w:rPr>
          <w:rFonts w:ascii="Times New Roman" w:hAnsi="Times New Roman" w:cs="Times New Roman"/>
          <w:sz w:val="24"/>
          <w:szCs w:val="24"/>
        </w:rPr>
        <w:t xml:space="preserve"> in other contexts</w:t>
      </w:r>
      <w:r w:rsidR="00D4293A" w:rsidRPr="00371524">
        <w:rPr>
          <w:rFonts w:ascii="Times New Roman" w:hAnsi="Times New Roman" w:cs="Times New Roman"/>
          <w:sz w:val="24"/>
          <w:szCs w:val="24"/>
        </w:rPr>
        <w:t>.</w:t>
      </w:r>
      <w:r w:rsidR="007F3D72" w:rsidRPr="00371524">
        <w:rPr>
          <w:rFonts w:ascii="Times New Roman" w:hAnsi="Times New Roman" w:cs="Times New Roman"/>
          <w:sz w:val="24"/>
          <w:szCs w:val="24"/>
        </w:rPr>
        <w:t xml:space="preserve"> </w:t>
      </w:r>
      <w:r w:rsidR="00503B4B" w:rsidRPr="00371524">
        <w:rPr>
          <w:rFonts w:ascii="Times New Roman" w:hAnsi="Times New Roman" w:cs="Times New Roman"/>
          <w:sz w:val="24"/>
          <w:szCs w:val="24"/>
        </w:rPr>
        <w:t>When responding to p</w:t>
      </w:r>
      <w:r w:rsidR="0025755F" w:rsidRPr="00371524">
        <w:rPr>
          <w:rFonts w:ascii="Times New Roman" w:hAnsi="Times New Roman" w:cs="Times New Roman"/>
          <w:sz w:val="24"/>
          <w:szCs w:val="24"/>
        </w:rPr>
        <w:t xml:space="preserve">leadings and discovery, look </w:t>
      </w:r>
      <w:r w:rsidR="00503B4B" w:rsidRPr="00371524">
        <w:rPr>
          <w:rFonts w:ascii="Times New Roman" w:hAnsi="Times New Roman" w:cs="Times New Roman"/>
          <w:sz w:val="24"/>
          <w:szCs w:val="24"/>
        </w:rPr>
        <w:t xml:space="preserve">for legal conclusions and vague safety rules. </w:t>
      </w:r>
      <w:r w:rsidR="007A3148" w:rsidRPr="00371524">
        <w:rPr>
          <w:rFonts w:ascii="Times New Roman" w:hAnsi="Times New Roman" w:cs="Times New Roman"/>
          <w:sz w:val="24"/>
          <w:szCs w:val="24"/>
        </w:rPr>
        <w:t>Remember that the Reptile plaintiff attorney wants to make sweeping generalizatio</w:t>
      </w:r>
      <w:r w:rsidR="00F06619" w:rsidRPr="00371524">
        <w:rPr>
          <w:rFonts w:ascii="Times New Roman" w:hAnsi="Times New Roman" w:cs="Times New Roman"/>
          <w:sz w:val="24"/>
          <w:szCs w:val="24"/>
        </w:rPr>
        <w:t xml:space="preserve">ns. </w:t>
      </w:r>
      <w:r w:rsidR="00243CA3" w:rsidRPr="00371524">
        <w:rPr>
          <w:rFonts w:ascii="Times New Roman" w:hAnsi="Times New Roman" w:cs="Times New Roman"/>
          <w:sz w:val="24"/>
          <w:szCs w:val="24"/>
        </w:rPr>
        <w:t>You want to “</w:t>
      </w:r>
      <w:r w:rsidR="00981404" w:rsidRPr="00371524">
        <w:rPr>
          <w:rFonts w:ascii="Times New Roman" w:hAnsi="Times New Roman" w:cs="Times New Roman"/>
          <w:sz w:val="24"/>
          <w:szCs w:val="24"/>
        </w:rPr>
        <w:t>re</w:t>
      </w:r>
      <w:r w:rsidR="00981404">
        <w:rPr>
          <w:rFonts w:ascii="Times New Roman" w:hAnsi="Times New Roman" w:cs="Times New Roman"/>
          <w:sz w:val="24"/>
          <w:szCs w:val="24"/>
        </w:rPr>
        <w:t>-</w:t>
      </w:r>
      <w:r w:rsidR="00981404" w:rsidRPr="00371524">
        <w:rPr>
          <w:rFonts w:ascii="Times New Roman" w:hAnsi="Times New Roman" w:cs="Times New Roman"/>
          <w:sz w:val="24"/>
          <w:szCs w:val="24"/>
        </w:rPr>
        <w:t>prime</w:t>
      </w:r>
      <w:r w:rsidR="00243CA3" w:rsidRPr="00371524">
        <w:rPr>
          <w:rFonts w:ascii="Times New Roman" w:hAnsi="Times New Roman" w:cs="Times New Roman"/>
          <w:sz w:val="24"/>
          <w:szCs w:val="24"/>
        </w:rPr>
        <w:t>” and tel</w:t>
      </w:r>
      <w:r w:rsidR="0097404D" w:rsidRPr="00371524">
        <w:rPr>
          <w:rFonts w:ascii="Times New Roman" w:hAnsi="Times New Roman" w:cs="Times New Roman"/>
          <w:sz w:val="24"/>
          <w:szCs w:val="24"/>
        </w:rPr>
        <w:t>l your client’s story. You tell your client’s</w:t>
      </w:r>
      <w:r w:rsidR="00243CA3" w:rsidRPr="00371524">
        <w:rPr>
          <w:rFonts w:ascii="Times New Roman" w:hAnsi="Times New Roman" w:cs="Times New Roman"/>
          <w:sz w:val="24"/>
          <w:szCs w:val="24"/>
        </w:rPr>
        <w:t xml:space="preserve"> story by focusing on the facts and context of the underlying incident.  </w:t>
      </w:r>
    </w:p>
    <w:p w14:paraId="6F63F2DE" w14:textId="77777777" w:rsidR="00F40139" w:rsidRDefault="00F40139" w:rsidP="00BE29BE">
      <w:pPr>
        <w:rPr>
          <w:rFonts w:ascii="Arial" w:hAnsi="Arial" w:cs="Arial"/>
        </w:rPr>
      </w:pPr>
    </w:p>
    <w:p w14:paraId="2393B143" w14:textId="77777777" w:rsidR="00612583" w:rsidRPr="00612583" w:rsidRDefault="00612583" w:rsidP="00612583">
      <w:pPr>
        <w:rPr>
          <w:rFonts w:ascii="Arial" w:hAnsi="Arial" w:cs="Arial"/>
        </w:rPr>
      </w:pPr>
    </w:p>
    <w:sectPr w:rsidR="00612583" w:rsidRPr="00612583" w:rsidSect="001E072F">
      <w:footerReference w:type="even"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26AD0A" w14:textId="77777777" w:rsidR="0076721A" w:rsidRDefault="0076721A" w:rsidP="00FE01D0">
      <w:pPr>
        <w:spacing w:after="0" w:line="240" w:lineRule="auto"/>
      </w:pPr>
      <w:r>
        <w:separator/>
      </w:r>
    </w:p>
  </w:endnote>
  <w:endnote w:type="continuationSeparator" w:id="0">
    <w:p w14:paraId="49503B2C" w14:textId="77777777" w:rsidR="0076721A" w:rsidRDefault="0076721A" w:rsidP="00FE01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DAF6D5" w14:textId="77777777" w:rsidR="0076721A" w:rsidRDefault="0076721A" w:rsidP="004B7D4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EFE7BA9" w14:textId="77777777" w:rsidR="0076721A" w:rsidRDefault="0076721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C9A0C1" w14:textId="77777777" w:rsidR="0076721A" w:rsidRPr="006E1936" w:rsidRDefault="0076721A" w:rsidP="004B7D4A">
    <w:pPr>
      <w:pStyle w:val="Footer"/>
      <w:framePr w:wrap="around" w:vAnchor="text" w:hAnchor="margin" w:xAlign="center" w:y="1"/>
      <w:rPr>
        <w:rStyle w:val="PageNumber"/>
        <w:rFonts w:ascii="Arial" w:hAnsi="Arial" w:cs="Arial"/>
      </w:rPr>
    </w:pPr>
    <w:r w:rsidRPr="006E1936">
      <w:rPr>
        <w:rStyle w:val="PageNumber"/>
        <w:rFonts w:ascii="Arial" w:hAnsi="Arial" w:cs="Arial"/>
      </w:rPr>
      <w:fldChar w:fldCharType="begin"/>
    </w:r>
    <w:r w:rsidRPr="006E1936">
      <w:rPr>
        <w:rStyle w:val="PageNumber"/>
        <w:rFonts w:ascii="Arial" w:hAnsi="Arial" w:cs="Arial"/>
      </w:rPr>
      <w:instrText xml:space="preserve">PAGE  </w:instrText>
    </w:r>
    <w:r w:rsidRPr="006E1936">
      <w:rPr>
        <w:rStyle w:val="PageNumber"/>
        <w:rFonts w:ascii="Arial" w:hAnsi="Arial" w:cs="Arial"/>
      </w:rPr>
      <w:fldChar w:fldCharType="separate"/>
    </w:r>
    <w:r w:rsidR="003B1162">
      <w:rPr>
        <w:rStyle w:val="PageNumber"/>
        <w:rFonts w:ascii="Arial" w:hAnsi="Arial" w:cs="Arial"/>
        <w:noProof/>
      </w:rPr>
      <w:t>12</w:t>
    </w:r>
    <w:r w:rsidRPr="006E1936">
      <w:rPr>
        <w:rStyle w:val="PageNumber"/>
        <w:rFonts w:ascii="Arial" w:hAnsi="Arial" w:cs="Arial"/>
      </w:rPr>
      <w:fldChar w:fldCharType="end"/>
    </w:r>
  </w:p>
  <w:p w14:paraId="39AC9B2B" w14:textId="77777777" w:rsidR="0076721A" w:rsidRDefault="0076721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0719F5" w14:textId="77777777" w:rsidR="0076721A" w:rsidRDefault="0076721A" w:rsidP="00FE01D0">
      <w:pPr>
        <w:spacing w:after="0" w:line="240" w:lineRule="auto"/>
      </w:pPr>
      <w:r>
        <w:separator/>
      </w:r>
    </w:p>
  </w:footnote>
  <w:footnote w:type="continuationSeparator" w:id="0">
    <w:p w14:paraId="1D942CCC" w14:textId="77777777" w:rsidR="0076721A" w:rsidRDefault="0076721A" w:rsidP="00FE01D0">
      <w:pPr>
        <w:spacing w:after="0" w:line="240" w:lineRule="auto"/>
      </w:pPr>
      <w:r>
        <w:continuationSeparator/>
      </w:r>
    </w:p>
  </w:footnote>
  <w:footnote w:id="1">
    <w:p w14:paraId="2F326F56" w14:textId="18D573A6" w:rsidR="0076721A" w:rsidRPr="00ED0274" w:rsidRDefault="0076721A" w:rsidP="00691785">
      <w:pPr>
        <w:pStyle w:val="FootnoteText"/>
        <w:spacing w:line="480" w:lineRule="auto"/>
        <w:rPr>
          <w:rFonts w:ascii="Times New Roman" w:hAnsi="Times New Roman" w:cs="Times New Roman"/>
        </w:rPr>
      </w:pPr>
      <w:r w:rsidRPr="00ED0274">
        <w:rPr>
          <w:rStyle w:val="FootnoteReference"/>
          <w:rFonts w:ascii="Times New Roman" w:hAnsi="Times New Roman" w:cs="Times New Roman"/>
        </w:rPr>
        <w:footnoteRef/>
      </w:r>
      <w:r w:rsidRPr="00ED0274">
        <w:rPr>
          <w:rFonts w:ascii="Times New Roman" w:hAnsi="Times New Roman" w:cs="Times New Roman"/>
        </w:rPr>
        <w:t xml:space="preserve"> More than $700 million during the last year, according to the Reptile proponents.</w:t>
      </w:r>
    </w:p>
  </w:footnote>
  <w:footnote w:id="2">
    <w:p w14:paraId="3D32CF55" w14:textId="306D298D" w:rsidR="0076721A" w:rsidRPr="00BA5E33" w:rsidRDefault="0076721A" w:rsidP="00691785">
      <w:pPr>
        <w:pStyle w:val="FootnoteText"/>
        <w:spacing w:line="480" w:lineRule="auto"/>
        <w:rPr>
          <w:rFonts w:ascii="Times New Roman" w:hAnsi="Times New Roman" w:cs="Times New Roman"/>
        </w:rPr>
      </w:pPr>
      <w:r w:rsidRPr="00BA5E33">
        <w:rPr>
          <w:rStyle w:val="FootnoteReference"/>
          <w:rFonts w:ascii="Times New Roman" w:hAnsi="Times New Roman" w:cs="Times New Roman"/>
        </w:rPr>
        <w:footnoteRef/>
      </w:r>
      <w:r w:rsidRPr="00BA5E33">
        <w:rPr>
          <w:rFonts w:ascii="Times New Roman" w:hAnsi="Times New Roman" w:cs="Times New Roman"/>
        </w:rPr>
        <w:t xml:space="preserve"> The authors do</w:t>
      </w:r>
      <w:r w:rsidR="00B5661B">
        <w:rPr>
          <w:rFonts w:ascii="Times New Roman" w:hAnsi="Times New Roman" w:cs="Times New Roman"/>
        </w:rPr>
        <w:t xml:space="preserve"> not</w:t>
      </w:r>
      <w:r w:rsidRPr="00BA5E33">
        <w:rPr>
          <w:rFonts w:ascii="Times New Roman" w:hAnsi="Times New Roman" w:cs="Times New Roman"/>
        </w:rPr>
        <w:t xml:space="preserve"> cite any statutory or case law authority for these “safety rules.”</w:t>
      </w:r>
    </w:p>
  </w:footnote>
  <w:footnote w:id="3">
    <w:p w14:paraId="102658BF" w14:textId="4C54A91F" w:rsidR="0076721A" w:rsidRPr="00BA5E33" w:rsidRDefault="0076721A" w:rsidP="00691785">
      <w:pPr>
        <w:pStyle w:val="FootnoteText"/>
        <w:spacing w:line="480" w:lineRule="auto"/>
        <w:rPr>
          <w:rFonts w:ascii="Times New Roman" w:hAnsi="Times New Roman" w:cs="Times New Roman"/>
        </w:rPr>
      </w:pPr>
      <w:r w:rsidRPr="00BA5E33">
        <w:rPr>
          <w:rStyle w:val="FootnoteReference"/>
          <w:rFonts w:ascii="Times New Roman" w:hAnsi="Times New Roman" w:cs="Times New Roman"/>
        </w:rPr>
        <w:footnoteRef/>
      </w:r>
      <w:r w:rsidRPr="00BA5E33">
        <w:rPr>
          <w:rFonts w:ascii="Times New Roman" w:hAnsi="Times New Roman" w:cs="Times New Roman"/>
        </w:rPr>
        <w:t xml:space="preserve"> In his article, Dr. Kanasky recommended this </w:t>
      </w:r>
      <w:r w:rsidR="00D17044">
        <w:rPr>
          <w:rFonts w:ascii="Times New Roman" w:hAnsi="Times New Roman" w:cs="Times New Roman"/>
        </w:rPr>
        <w:t>strategy in the context of voir</w:t>
      </w:r>
      <w:r w:rsidRPr="00BA5E33">
        <w:rPr>
          <w:rFonts w:ascii="Times New Roman" w:hAnsi="Times New Roman" w:cs="Times New Roman"/>
        </w:rPr>
        <w:t xml:space="preserve"> dire, but the same strategy can be employed in your discovery responses. The point is to tell your own story. Never adopt the plaintiff’s story. </w:t>
      </w:r>
    </w:p>
  </w:footnote>
  <w:footnote w:id="4">
    <w:p w14:paraId="25A85044" w14:textId="1CE7C0D8" w:rsidR="0076721A" w:rsidRPr="00BA5E33" w:rsidRDefault="0076721A" w:rsidP="00981404">
      <w:pPr>
        <w:pStyle w:val="FootnoteText"/>
        <w:spacing w:line="480" w:lineRule="auto"/>
        <w:rPr>
          <w:rFonts w:ascii="Times New Roman" w:hAnsi="Times New Roman" w:cs="Times New Roman"/>
        </w:rPr>
      </w:pPr>
      <w:r w:rsidRPr="00BA5E33">
        <w:rPr>
          <w:rStyle w:val="FootnoteReference"/>
          <w:rFonts w:ascii="Times New Roman" w:hAnsi="Times New Roman" w:cs="Times New Roman"/>
        </w:rPr>
        <w:footnoteRef/>
      </w:r>
      <w:r w:rsidRPr="00BA5E33">
        <w:rPr>
          <w:rFonts w:ascii="Times New Roman" w:hAnsi="Times New Roman" w:cs="Times New Roman"/>
        </w:rPr>
        <w:t xml:space="preserve"> </w:t>
      </w:r>
      <w:r w:rsidRPr="00BA5E33">
        <w:rPr>
          <w:rFonts w:ascii="Times New Roman" w:hAnsi="Times New Roman" w:cs="Times New Roman"/>
          <w:i/>
        </w:rPr>
        <w:t xml:space="preserve">See </w:t>
      </w:r>
      <w:r w:rsidRPr="004671DF">
        <w:rPr>
          <w:rFonts w:ascii="Times New Roman" w:hAnsi="Times New Roman" w:cs="Times New Roman"/>
          <w:u w:val="single"/>
        </w:rPr>
        <w:t>Drake v. Old Dominion Freight Line, Inc.</w:t>
      </w:r>
      <w:r w:rsidRPr="000B5B11">
        <w:rPr>
          <w:rFonts w:ascii="Times New Roman" w:hAnsi="Times New Roman" w:cs="Times New Roman"/>
        </w:rPr>
        <w:t>,</w:t>
      </w:r>
      <w:r w:rsidRPr="00BA5E33">
        <w:rPr>
          <w:rFonts w:ascii="Times New Roman" w:hAnsi="Times New Roman" w:cs="Times New Roman"/>
        </w:rPr>
        <w:t xml:space="preserve"> 2016 WL 1328941 for an example of a federal court striking plaintiff’s claims for negligent hiring, retention, qualification, supervision, and training due to a lack of factual support.  </w:t>
      </w:r>
    </w:p>
  </w:footnote>
  <w:footnote w:id="5">
    <w:p w14:paraId="1104832E" w14:textId="14E4A933" w:rsidR="0076721A" w:rsidRPr="00C04C9C" w:rsidRDefault="0076721A" w:rsidP="00691785">
      <w:pPr>
        <w:pStyle w:val="FootnoteText"/>
        <w:spacing w:line="480" w:lineRule="auto"/>
        <w:rPr>
          <w:rFonts w:ascii="Times New Roman" w:hAnsi="Times New Roman" w:cs="Times New Roman"/>
        </w:rPr>
      </w:pPr>
      <w:r w:rsidRPr="00C04C9C">
        <w:rPr>
          <w:rStyle w:val="FootnoteReference"/>
          <w:rFonts w:ascii="Times New Roman" w:hAnsi="Times New Roman" w:cs="Times New Roman"/>
        </w:rPr>
        <w:footnoteRef/>
      </w:r>
      <w:r w:rsidRPr="00C04C9C">
        <w:rPr>
          <w:rFonts w:ascii="Times New Roman" w:hAnsi="Times New Roman" w:cs="Times New Roman"/>
        </w:rPr>
        <w:t xml:space="preserve"> Appropriate legal objections preceded our response. </w:t>
      </w:r>
    </w:p>
  </w:footnote>
  <w:footnote w:id="6">
    <w:p w14:paraId="2C7CE713" w14:textId="77777777" w:rsidR="0076721A" w:rsidRPr="00FE01D0" w:rsidRDefault="0076721A" w:rsidP="00691785">
      <w:pPr>
        <w:pStyle w:val="FootnoteText"/>
        <w:spacing w:line="480" w:lineRule="auto"/>
        <w:rPr>
          <w:rFonts w:ascii="Arial" w:hAnsi="Arial" w:cs="Arial"/>
          <w:sz w:val="22"/>
          <w:szCs w:val="22"/>
        </w:rPr>
      </w:pPr>
      <w:r w:rsidRPr="00C04C9C">
        <w:rPr>
          <w:rStyle w:val="FootnoteReference"/>
          <w:rFonts w:ascii="Times New Roman" w:hAnsi="Times New Roman" w:cs="Times New Roman"/>
        </w:rPr>
        <w:footnoteRef/>
      </w:r>
      <w:r w:rsidRPr="00C04C9C">
        <w:rPr>
          <w:rFonts w:ascii="Times New Roman" w:hAnsi="Times New Roman" w:cs="Times New Roman"/>
        </w:rPr>
        <w:t xml:space="preserve"> In Georgia, only substantially similar crimes are relevant in assessing a whether a landowner should have foreseen criminal activity.</w:t>
      </w:r>
    </w:p>
  </w:footnote>
  <w:footnote w:id="7">
    <w:p w14:paraId="335C6DE8" w14:textId="013ABA37" w:rsidR="00A833F2" w:rsidRPr="006B06DC" w:rsidRDefault="00A833F2" w:rsidP="006B06DC">
      <w:pPr>
        <w:pStyle w:val="FootnoteText"/>
        <w:spacing w:line="480" w:lineRule="auto"/>
        <w:rPr>
          <w:rFonts w:ascii="Times New Roman" w:hAnsi="Times New Roman" w:cs="Times New Roman"/>
        </w:rPr>
      </w:pPr>
      <w:r w:rsidRPr="006B06DC">
        <w:rPr>
          <w:rStyle w:val="FootnoteReference"/>
          <w:rFonts w:ascii="Times New Roman" w:hAnsi="Times New Roman" w:cs="Times New Roman"/>
        </w:rPr>
        <w:footnoteRef/>
      </w:r>
      <w:r w:rsidRPr="006B06DC">
        <w:rPr>
          <w:rFonts w:ascii="Times New Roman" w:hAnsi="Times New Roman" w:cs="Times New Roman"/>
        </w:rPr>
        <w:t xml:space="preserve"> </w:t>
      </w:r>
      <w:r w:rsidR="00FA7C72" w:rsidRPr="006B06DC">
        <w:rPr>
          <w:rFonts w:ascii="Times New Roman" w:hAnsi="Times New Roman" w:cs="Times New Roman"/>
        </w:rPr>
        <w:t>Limitations on 30(b)(6) depositions and topic construction from outside the “pure” Reptile Theory arena inform the defense to the Reptile:</w:t>
      </w:r>
      <w:r w:rsidRPr="006B06DC">
        <w:rPr>
          <w:rFonts w:ascii="Times New Roman" w:hAnsi="Times New Roman" w:cs="Times New Roman"/>
        </w:rPr>
        <w:t xml:space="preserve">  “Where…the defendant cannot identify the outer limits of the areas of inquiry noticed, compliant designation is not feasible.”  </w:t>
      </w:r>
      <w:r w:rsidRPr="004C5815">
        <w:rPr>
          <w:rFonts w:ascii="Times New Roman" w:hAnsi="Times New Roman" w:cs="Times New Roman"/>
          <w:u w:val="single"/>
        </w:rPr>
        <w:t>Reed v. Bennett</w:t>
      </w:r>
      <w:r w:rsidRPr="006B06DC">
        <w:rPr>
          <w:rFonts w:ascii="Times New Roman" w:hAnsi="Times New Roman" w:cs="Times New Roman"/>
        </w:rPr>
        <w:t xml:space="preserve">, 193 F.R.D. 689, 692 (D.Kan. 2000).  Accordingly, a notice must avoid phrases such as “including but not limited to.”  Such a topic would put the corporation to the impossible task of preparing for an open-ended, and theoretically infinite subject.  Id.  Where possible, the 30(b)(6) notice should “be limited to a relevant time period, geographic scope, and related to claims” that are at issue in the case.  </w:t>
      </w:r>
      <w:r w:rsidRPr="004C5815">
        <w:rPr>
          <w:rFonts w:ascii="Times New Roman" w:hAnsi="Times New Roman" w:cs="Times New Roman"/>
          <w:u w:val="single"/>
        </w:rPr>
        <w:t>Young v. United Parcel Serv. of Am., Inc.</w:t>
      </w:r>
      <w:r w:rsidRPr="006B06DC">
        <w:rPr>
          <w:rFonts w:ascii="Times New Roman" w:hAnsi="Times New Roman" w:cs="Times New Roman"/>
        </w:rPr>
        <w:t>, 2010 WL 1346423, *9 (D.Md. Mar. 30, 2010). </w:t>
      </w:r>
    </w:p>
  </w:footnote>
  <w:footnote w:id="8">
    <w:p w14:paraId="12CEE5A7" w14:textId="78FB8070" w:rsidR="007912BD" w:rsidRPr="00AD3F62" w:rsidRDefault="007912BD" w:rsidP="00691785">
      <w:pPr>
        <w:pStyle w:val="FootnoteText"/>
        <w:spacing w:line="480" w:lineRule="auto"/>
        <w:rPr>
          <w:rFonts w:ascii="Times New Roman" w:hAnsi="Times New Roman" w:cs="Times New Roman"/>
        </w:rPr>
      </w:pPr>
      <w:r w:rsidRPr="00AD3F62">
        <w:rPr>
          <w:rStyle w:val="FootnoteReference"/>
          <w:rFonts w:ascii="Times New Roman" w:hAnsi="Times New Roman" w:cs="Times New Roman"/>
        </w:rPr>
        <w:footnoteRef/>
      </w:r>
      <w:r w:rsidRPr="00AD3F62">
        <w:rPr>
          <w:rFonts w:ascii="Times New Roman" w:hAnsi="Times New Roman" w:cs="Times New Roman"/>
        </w:rPr>
        <w:t xml:space="preserve"> Notably, “conscience of the community” arguments “would not necessarily be improper in Georgia.  See </w:t>
      </w:r>
      <w:r w:rsidRPr="004C5815">
        <w:rPr>
          <w:rFonts w:ascii="Times New Roman" w:hAnsi="Times New Roman" w:cs="Times New Roman"/>
          <w:u w:val="single"/>
        </w:rPr>
        <w:t>United States v. Marin-Vega</w:t>
      </w:r>
      <w:r w:rsidRPr="00AD3F62">
        <w:rPr>
          <w:rFonts w:ascii="Times New Roman" w:hAnsi="Times New Roman" w:cs="Times New Roman"/>
        </w:rPr>
        <w:t xml:space="preserve">, 403 Fed.Appx. 358, 362 (11th Cir. 2010) (“Prosecutorial appeals for the jury to act as the conscience of the community are not impermissible, unless calculated to inflame.”) (per curiam).  What Plaintiffs may not do, however, is argue that they brought this lawsuit to preserve community safety.”  </w:t>
      </w:r>
      <w:r w:rsidRPr="005225C7">
        <w:rPr>
          <w:rFonts w:ascii="Times New Roman" w:hAnsi="Times New Roman" w:cs="Times New Roman"/>
          <w:u w:val="single"/>
        </w:rPr>
        <w:t>Bunch v.</w:t>
      </w:r>
      <w:r w:rsidRPr="005225C7">
        <w:rPr>
          <w:u w:val="single"/>
        </w:rPr>
        <w:t xml:space="preserve"> </w:t>
      </w:r>
      <w:r w:rsidRPr="005225C7">
        <w:rPr>
          <w:rFonts w:ascii="Times New Roman" w:hAnsi="Times New Roman" w:cs="Times New Roman"/>
          <w:u w:val="single"/>
        </w:rPr>
        <w:t>Pacific Cycle</w:t>
      </w:r>
      <w:r w:rsidR="005225C7" w:rsidRPr="005225C7">
        <w:rPr>
          <w:rFonts w:ascii="Times New Roman" w:hAnsi="Times New Roman" w:cs="Times New Roman"/>
          <w:u w:val="single"/>
        </w:rPr>
        <w:t>, Inc.</w:t>
      </w:r>
      <w:r w:rsidRPr="005225C7">
        <w:rPr>
          <w:rFonts w:ascii="Times New Roman" w:hAnsi="Times New Roman" w:cs="Times New Roman"/>
          <w:u w:val="single"/>
        </w:rPr>
        <w:t>,</w:t>
      </w:r>
      <w:r w:rsidRPr="00AD3F62">
        <w:rPr>
          <w:rFonts w:ascii="Times New Roman" w:hAnsi="Times New Roman" w:cs="Times New Roman"/>
        </w:rPr>
        <w:t xml:space="preserve"> 2015 WL 11622952 (N.D. Ga., April 27, 2015).  </w:t>
      </w:r>
      <w:r w:rsidR="0082186F" w:rsidRPr="00AD3F62">
        <w:rPr>
          <w:rFonts w:ascii="Times New Roman" w:hAnsi="Times New Roman" w:cs="Times New Roman"/>
        </w:rPr>
        <w:t>But “conscience of the community” arguments are “disfavored in the Sixth Circuit,” as noted in the Brooks case cited below.</w:t>
      </w:r>
    </w:p>
  </w:footnote>
  <w:footnote w:id="9">
    <w:p w14:paraId="13B83531" w14:textId="75AD7141" w:rsidR="004B6FD8" w:rsidRPr="00AD3F62" w:rsidRDefault="004B6FD8" w:rsidP="00691785">
      <w:pPr>
        <w:pStyle w:val="FootnoteText"/>
        <w:spacing w:line="480" w:lineRule="auto"/>
        <w:rPr>
          <w:rFonts w:ascii="Times New Roman" w:hAnsi="Times New Roman" w:cs="Times New Roman"/>
        </w:rPr>
      </w:pPr>
      <w:r w:rsidRPr="00AD3F62">
        <w:rPr>
          <w:rStyle w:val="FootnoteReference"/>
          <w:rFonts w:ascii="Times New Roman" w:hAnsi="Times New Roman" w:cs="Times New Roman"/>
        </w:rPr>
        <w:footnoteRef/>
      </w:r>
      <w:r w:rsidRPr="00AD3F62">
        <w:rPr>
          <w:rFonts w:ascii="Times New Roman" w:hAnsi="Times New Roman" w:cs="Times New Roman"/>
        </w:rPr>
        <w:t xml:space="preserve"> For instance, in </w:t>
      </w:r>
      <w:r w:rsidRPr="003F2C27">
        <w:rPr>
          <w:rFonts w:ascii="Times New Roman" w:hAnsi="Times New Roman" w:cs="Times New Roman"/>
          <w:u w:val="single"/>
        </w:rPr>
        <w:t>Brooks v. Caterpillar Global Mining America</w:t>
      </w:r>
      <w:r w:rsidR="003F2C27" w:rsidRPr="003F2C27">
        <w:rPr>
          <w:rFonts w:ascii="Times New Roman" w:hAnsi="Times New Roman" w:cs="Times New Roman"/>
          <w:u w:val="single"/>
        </w:rPr>
        <w:t>, LLC</w:t>
      </w:r>
      <w:r w:rsidRPr="00AD3F62">
        <w:rPr>
          <w:rFonts w:ascii="Times New Roman" w:hAnsi="Times New Roman" w:cs="Times New Roman"/>
        </w:rPr>
        <w:t>, 2017 WL 3401476 (W.D. Ky., August 8, 2017), the trial court granted defense motions in limine on both “send a message” arguments and Reptile Theory arguments, observing that Reptile Theory mirrors the “send a message or conscience of the community arguments which are “disfavored in the Sixth Circuit.”</w:t>
      </w:r>
    </w:p>
  </w:footnote>
  <w:footnote w:id="10">
    <w:p w14:paraId="333388BF" w14:textId="6AFD9054" w:rsidR="00E72295" w:rsidRPr="00AD3F62" w:rsidRDefault="00E72295" w:rsidP="00691785">
      <w:pPr>
        <w:pStyle w:val="FootnoteText"/>
        <w:spacing w:line="480" w:lineRule="auto"/>
        <w:rPr>
          <w:rFonts w:ascii="Times New Roman" w:hAnsi="Times New Roman" w:cs="Times New Roman"/>
        </w:rPr>
      </w:pPr>
      <w:r w:rsidRPr="00AD3F62">
        <w:rPr>
          <w:rStyle w:val="FootnoteReference"/>
          <w:rFonts w:ascii="Times New Roman" w:hAnsi="Times New Roman" w:cs="Times New Roman"/>
        </w:rPr>
        <w:footnoteRef/>
      </w:r>
      <w:r w:rsidRPr="00AD3F62">
        <w:rPr>
          <w:rFonts w:ascii="Times New Roman" w:hAnsi="Times New Roman" w:cs="Times New Roman"/>
        </w:rPr>
        <w:t xml:space="preserve"> In </w:t>
      </w:r>
      <w:r w:rsidRPr="005225C7">
        <w:rPr>
          <w:rFonts w:ascii="Times New Roman" w:hAnsi="Times New Roman" w:cs="Times New Roman"/>
          <w:u w:val="single"/>
        </w:rPr>
        <w:t>Turner v. Salem</w:t>
      </w:r>
      <w:r w:rsidRPr="00AD3F62">
        <w:rPr>
          <w:rFonts w:ascii="Times New Roman" w:hAnsi="Times New Roman" w:cs="Times New Roman"/>
        </w:rPr>
        <w:t xml:space="preserve">, </w:t>
      </w:r>
      <w:r w:rsidR="005B2AC1" w:rsidRPr="00AD3F62">
        <w:rPr>
          <w:rFonts w:ascii="Times New Roman" w:hAnsi="Times New Roman" w:cs="Times New Roman"/>
        </w:rPr>
        <w:t>2015 WL 4083225 (W.D. N.C., July 29, 2016)</w:t>
      </w:r>
      <w:r w:rsidRPr="00AD3F62">
        <w:rPr>
          <w:rFonts w:ascii="Times New Roman" w:hAnsi="Times New Roman" w:cs="Times New Roman"/>
        </w:rPr>
        <w:t>, the trial court took the middle road, deferring ruling on Reptile Theory arguments to trial, subject to objections made “as the need arises.”</w:t>
      </w:r>
    </w:p>
  </w:footnote>
  <w:footnote w:id="11">
    <w:p w14:paraId="6A567517" w14:textId="66B99C4C" w:rsidR="006016BA" w:rsidRPr="00AD3F62" w:rsidRDefault="006016BA" w:rsidP="00691785">
      <w:pPr>
        <w:pStyle w:val="FootnoteText"/>
        <w:spacing w:line="480" w:lineRule="auto"/>
        <w:rPr>
          <w:rFonts w:ascii="Times New Roman" w:hAnsi="Times New Roman" w:cs="Times New Roman"/>
        </w:rPr>
      </w:pPr>
      <w:r w:rsidRPr="00AD3F62">
        <w:rPr>
          <w:rStyle w:val="FootnoteReference"/>
          <w:rFonts w:ascii="Times New Roman" w:hAnsi="Times New Roman" w:cs="Times New Roman"/>
        </w:rPr>
        <w:footnoteRef/>
      </w:r>
      <w:r w:rsidRPr="00AD3F62">
        <w:rPr>
          <w:rFonts w:ascii="Times New Roman" w:hAnsi="Times New Roman" w:cs="Times New Roman"/>
        </w:rPr>
        <w:t xml:space="preserve"> E.g., </w:t>
      </w:r>
      <w:r w:rsidRPr="00CF4D4F">
        <w:rPr>
          <w:rFonts w:ascii="Times New Roman" w:hAnsi="Times New Roman" w:cs="Times New Roman"/>
          <w:u w:val="single"/>
        </w:rPr>
        <w:t>Regalado v. Callaghan</w:t>
      </w:r>
      <w:r w:rsidRPr="00AD3F62">
        <w:rPr>
          <w:rFonts w:ascii="Times New Roman" w:hAnsi="Times New Roman" w:cs="Times New Roman"/>
        </w:rPr>
        <w:t>, 3 Cal.App.5th 582 (September 16, 2016) (while the appellate court agreed with the defense’s position that plaintiff’s counsel inappropriately urged the jury to base its verdict on protecting the community, the untimeliness of the eventual objection to the improper closing arguments proved fatal to the issue on appeal).</w:t>
      </w:r>
    </w:p>
  </w:footnote>
  <w:footnote w:id="12">
    <w:p w14:paraId="3FB4EC0D" w14:textId="51DE0E2F" w:rsidR="00B55E62" w:rsidRPr="00AD3F62" w:rsidRDefault="00B55E62" w:rsidP="00691785">
      <w:pPr>
        <w:pStyle w:val="FootnoteText"/>
        <w:spacing w:line="480" w:lineRule="auto"/>
        <w:rPr>
          <w:rFonts w:ascii="Times New Roman" w:hAnsi="Times New Roman" w:cs="Times New Roman"/>
        </w:rPr>
      </w:pPr>
      <w:r w:rsidRPr="00AD3F62">
        <w:rPr>
          <w:rStyle w:val="FootnoteReference"/>
          <w:rFonts w:ascii="Times New Roman" w:hAnsi="Times New Roman" w:cs="Times New Roman"/>
        </w:rPr>
        <w:footnoteRef/>
      </w:r>
      <w:r w:rsidRPr="00AD3F62">
        <w:rPr>
          <w:rFonts w:ascii="Times New Roman" w:hAnsi="Times New Roman" w:cs="Times New Roman"/>
        </w:rPr>
        <w:t xml:space="preserve"> </w:t>
      </w:r>
      <w:r w:rsidR="00B32C04" w:rsidRPr="00AD3F62">
        <w:rPr>
          <w:rFonts w:ascii="Times New Roman" w:hAnsi="Times New Roman" w:cs="Times New Roman"/>
        </w:rPr>
        <w:t xml:space="preserve">See, e.g., </w:t>
      </w:r>
      <w:r w:rsidR="00B32C04" w:rsidRPr="003F2C27">
        <w:rPr>
          <w:rFonts w:ascii="Times New Roman" w:hAnsi="Times New Roman" w:cs="Times New Roman"/>
          <w:u w:val="single"/>
        </w:rPr>
        <w:t>Hensley v. Methodist Healthcare Hospitals</w:t>
      </w:r>
      <w:r w:rsidR="00B32C04" w:rsidRPr="00AD3F62">
        <w:rPr>
          <w:rFonts w:ascii="Times New Roman" w:hAnsi="Times New Roman" w:cs="Times New Roman"/>
        </w:rPr>
        <w:t>, 2015 WL 5076982 (W.D. Tenn., August 27, 2015) (while Reptile and “scare tactics” recognized as encouraging “plaintiffs to appeal to the passion, prejudice, and sentiment of the jury,” the court denied the motion in limine due to lack of identification of specific evidence sought to be excluded; ruling includes admonishment that “any attempt by either party to appeal to the prejudice or sympathy of the jury will not be condoned.”)</w:t>
      </w:r>
      <w:r w:rsidR="007912BD" w:rsidRPr="00AD3F62">
        <w:rPr>
          <w:rFonts w:ascii="Times New Roman" w:hAnsi="Times New Roman" w:cs="Times New Roman"/>
        </w:rPr>
        <w:t xml:space="preserve">  </w:t>
      </w:r>
      <w:r w:rsidRPr="00AD3F62">
        <w:rPr>
          <w:rFonts w:ascii="Times New Roman" w:hAnsi="Times New Roman" w:cs="Times New Roman"/>
        </w:rPr>
        <w:t>See</w:t>
      </w:r>
      <w:r w:rsidR="00B32C04" w:rsidRPr="00AD3F62">
        <w:rPr>
          <w:rFonts w:ascii="Times New Roman" w:hAnsi="Times New Roman" w:cs="Times New Roman"/>
        </w:rPr>
        <w:t xml:space="preserve"> also</w:t>
      </w:r>
      <w:r w:rsidRPr="00AD3F62">
        <w:rPr>
          <w:rFonts w:ascii="Times New Roman" w:hAnsi="Times New Roman" w:cs="Times New Roman"/>
        </w:rPr>
        <w:t xml:space="preserve"> </w:t>
      </w:r>
      <w:r w:rsidRPr="006675E4">
        <w:rPr>
          <w:rFonts w:ascii="Times New Roman" w:hAnsi="Times New Roman" w:cs="Times New Roman"/>
          <w:u w:val="single"/>
        </w:rPr>
        <w:t>Botey v. Green</w:t>
      </w:r>
      <w:r w:rsidRPr="00AD3F62">
        <w:rPr>
          <w:rFonts w:ascii="Times New Roman" w:hAnsi="Times New Roman" w:cs="Times New Roman"/>
        </w:rPr>
        <w:t>,  2017 WL 2485231 (M.D. Pa., June 8, 2017) (ruling deferred apparently due to lack of citation to specific objectionable testimony or evidence at motion in limine stage).</w:t>
      </w:r>
      <w:r w:rsidR="007912BD" w:rsidRPr="00AD3F62">
        <w:rPr>
          <w:rFonts w:ascii="Times New Roman" w:hAnsi="Times New Roman" w:cs="Times New Roman"/>
        </w:rPr>
        <w:t xml:space="preserve">  And see </w:t>
      </w:r>
      <w:r w:rsidR="007912BD" w:rsidRPr="00BF1A48">
        <w:rPr>
          <w:rFonts w:ascii="Times New Roman" w:hAnsi="Times New Roman" w:cs="Times New Roman"/>
          <w:u w:val="single"/>
        </w:rPr>
        <w:t>Cameron v. Werner Enterprises</w:t>
      </w:r>
      <w:r w:rsidR="00BF1A48">
        <w:rPr>
          <w:rFonts w:ascii="Times New Roman" w:hAnsi="Times New Roman" w:cs="Times New Roman"/>
          <w:u w:val="single"/>
        </w:rPr>
        <w:t>, Inc.</w:t>
      </w:r>
      <w:r w:rsidR="007912BD" w:rsidRPr="00AD3F62">
        <w:rPr>
          <w:rFonts w:ascii="Times New Roman" w:hAnsi="Times New Roman" w:cs="Times New Roman"/>
        </w:rPr>
        <w:t>, 2016 WL 3030181 (S.D. Mississippi, May 25, 2016) (in the single footnote to this decision, “The Court would note that many of Defendants’ arguments are extremely abstract and vague and do not specify the exact piece of evidence to be excluded. The Court does its best to address these vague arguments.”)</w:t>
      </w:r>
    </w:p>
  </w:footnote>
  <w:footnote w:id="13">
    <w:p w14:paraId="5150F597" w14:textId="5C16722E" w:rsidR="00C34B06" w:rsidRPr="00D714BF" w:rsidRDefault="00C34B06" w:rsidP="00D714BF">
      <w:pPr>
        <w:pStyle w:val="FootnoteText"/>
        <w:spacing w:line="480" w:lineRule="auto"/>
        <w:rPr>
          <w:rFonts w:ascii="Times New Roman" w:hAnsi="Times New Roman" w:cs="Times New Roman"/>
        </w:rPr>
      </w:pPr>
      <w:r w:rsidRPr="00AD3F62">
        <w:rPr>
          <w:rStyle w:val="FootnoteReference"/>
          <w:rFonts w:ascii="Times New Roman" w:hAnsi="Times New Roman" w:cs="Times New Roman"/>
        </w:rPr>
        <w:footnoteRef/>
      </w:r>
      <w:r w:rsidRPr="00AD3F62">
        <w:rPr>
          <w:rFonts w:ascii="Times New Roman" w:hAnsi="Times New Roman" w:cs="Times New Roman"/>
        </w:rPr>
        <w:t xml:space="preserve"> Of particular relevance to this point, see </w:t>
      </w:r>
      <w:r w:rsidRPr="003F2C27">
        <w:rPr>
          <w:rFonts w:ascii="Times New Roman" w:hAnsi="Times New Roman" w:cs="Times New Roman"/>
          <w:u w:val="single"/>
        </w:rPr>
        <w:t>Wahlstrom v. LAZ Parking</w:t>
      </w:r>
      <w:r w:rsidR="003F2C27">
        <w:rPr>
          <w:rFonts w:ascii="Times New Roman" w:hAnsi="Times New Roman" w:cs="Times New Roman"/>
          <w:u w:val="single"/>
        </w:rPr>
        <w:t xml:space="preserve"> Ltd., LLC</w:t>
      </w:r>
      <w:r w:rsidRPr="00AD3F62">
        <w:rPr>
          <w:rFonts w:ascii="Times New Roman" w:hAnsi="Times New Roman" w:cs="Times New Roman"/>
        </w:rPr>
        <w:t xml:space="preserve">, Not Reported in N.E.3d, 2016 WL 3919503 (May 19, 2016) (order granting defense motion for new trial).  The groundwork for opposing the Reptile was laid pretrial and all through the course of the trial; ultimately the defense was granted a new trial.  Arguably the laying of the foundation by defense counsel led to the granting of their motion for new trial in this case in which the lead Reptile Don Keenan </w:t>
      </w:r>
      <w:r w:rsidR="00876093">
        <w:rPr>
          <w:rFonts w:ascii="Times New Roman" w:hAnsi="Times New Roman" w:cs="Times New Roman"/>
        </w:rPr>
        <w:t xml:space="preserve">himself </w:t>
      </w:r>
      <w:r w:rsidRPr="00AD3F62">
        <w:rPr>
          <w:rFonts w:ascii="Times New Roman" w:hAnsi="Times New Roman" w:cs="Times New Roman"/>
        </w:rPr>
        <w:t>was</w:t>
      </w:r>
      <w:r w:rsidR="007D64C1">
        <w:rPr>
          <w:rFonts w:ascii="Times New Roman" w:hAnsi="Times New Roman" w:cs="Times New Roman"/>
        </w:rPr>
        <w:t xml:space="preserve"> the plaintiff’s lead counsel</w:t>
      </w:r>
      <w:r w:rsidRPr="00AD3F62">
        <w:rPr>
          <w:rFonts w:ascii="Times New Roman" w:hAnsi="Times New Roman" w:cs="Times New Roman"/>
        </w:rPr>
        <w:t>.</w:t>
      </w:r>
    </w:p>
  </w:footnote>
  <w:footnote w:id="14">
    <w:p w14:paraId="391B2DCE" w14:textId="5B269358" w:rsidR="00B603DE" w:rsidRDefault="00B603DE" w:rsidP="00D714BF">
      <w:pPr>
        <w:pStyle w:val="FootnoteText"/>
        <w:spacing w:line="480" w:lineRule="auto"/>
      </w:pPr>
      <w:r w:rsidRPr="00D714BF">
        <w:rPr>
          <w:rStyle w:val="FootnoteReference"/>
          <w:rFonts w:ascii="Times New Roman" w:hAnsi="Times New Roman" w:cs="Times New Roman"/>
        </w:rPr>
        <w:footnoteRef/>
      </w:r>
      <w:r w:rsidRPr="00D714BF">
        <w:rPr>
          <w:rFonts w:ascii="Times New Roman" w:hAnsi="Times New Roman" w:cs="Times New Roman"/>
        </w:rPr>
        <w:t xml:space="preserve"> </w:t>
      </w:r>
      <w:r w:rsidRPr="00D714BF">
        <w:rPr>
          <w:rFonts w:ascii="Times New Roman" w:hAnsi="Times New Roman" w:cs="Times New Roman"/>
        </w:rPr>
        <w:t xml:space="preserve">See </w:t>
      </w:r>
      <w:r w:rsidRPr="003F2C27">
        <w:rPr>
          <w:rFonts w:ascii="Times New Roman" w:hAnsi="Times New Roman" w:cs="Times New Roman"/>
          <w:u w:val="single"/>
        </w:rPr>
        <w:t>Jackson v. Asplundh</w:t>
      </w:r>
      <w:r w:rsidR="003F2C27" w:rsidRPr="003F2C27">
        <w:rPr>
          <w:rFonts w:ascii="Times New Roman" w:hAnsi="Times New Roman" w:cs="Times New Roman"/>
          <w:u w:val="single"/>
        </w:rPr>
        <w:t xml:space="preserve"> Constr. Corp.</w:t>
      </w:r>
      <w:r w:rsidRPr="003F2C27">
        <w:rPr>
          <w:rFonts w:ascii="Times New Roman" w:hAnsi="Times New Roman" w:cs="Times New Roman"/>
          <w:u w:val="single"/>
        </w:rPr>
        <w:t>,</w:t>
      </w:r>
      <w:r w:rsidRPr="00D714BF">
        <w:rPr>
          <w:rFonts w:ascii="Times New Roman" w:hAnsi="Times New Roman" w:cs="Times New Roman"/>
        </w:rPr>
        <w:t xml:space="preserve"> 2016 WL 5941937 (E.D. Missouri, October 13, 2016) (court deferred ruling on defense motion in limine to preclude Reptile arguments, preferring to address objections as evidence introduced during trial).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264B7"/>
    <w:multiLevelType w:val="hybridMultilevel"/>
    <w:tmpl w:val="21EA6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0C1AAE"/>
    <w:multiLevelType w:val="hybridMultilevel"/>
    <w:tmpl w:val="E7DEC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16654F"/>
    <w:multiLevelType w:val="hybridMultilevel"/>
    <w:tmpl w:val="89F87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09F293E"/>
    <w:multiLevelType w:val="hybridMultilevel"/>
    <w:tmpl w:val="A51A50D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C817E44"/>
    <w:multiLevelType w:val="hybridMultilevel"/>
    <w:tmpl w:val="939676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37E86E02"/>
    <w:multiLevelType w:val="hybridMultilevel"/>
    <w:tmpl w:val="2B0AA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DA40414"/>
    <w:multiLevelType w:val="hybridMultilevel"/>
    <w:tmpl w:val="45124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0250E44"/>
    <w:multiLevelType w:val="hybridMultilevel"/>
    <w:tmpl w:val="D9760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8C332AF"/>
    <w:multiLevelType w:val="hybridMultilevel"/>
    <w:tmpl w:val="3B94F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CC07A78"/>
    <w:multiLevelType w:val="hybridMultilevel"/>
    <w:tmpl w:val="5F1E9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3B02E7E"/>
    <w:multiLevelType w:val="hybridMultilevel"/>
    <w:tmpl w:val="BB285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CB704F5"/>
    <w:multiLevelType w:val="hybridMultilevel"/>
    <w:tmpl w:val="C212E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4FC28FD"/>
    <w:multiLevelType w:val="hybridMultilevel"/>
    <w:tmpl w:val="347E39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7A2C2B37"/>
    <w:multiLevelType w:val="hybridMultilevel"/>
    <w:tmpl w:val="1608843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3"/>
  </w:num>
  <w:num w:numId="3">
    <w:abstractNumId w:val="0"/>
  </w:num>
  <w:num w:numId="4">
    <w:abstractNumId w:val="10"/>
  </w:num>
  <w:num w:numId="5">
    <w:abstractNumId w:val="4"/>
  </w:num>
  <w:num w:numId="6">
    <w:abstractNumId w:val="2"/>
  </w:num>
  <w:num w:numId="7">
    <w:abstractNumId w:val="12"/>
  </w:num>
  <w:num w:numId="8">
    <w:abstractNumId w:val="1"/>
  </w:num>
  <w:num w:numId="9">
    <w:abstractNumId w:val="9"/>
  </w:num>
  <w:num w:numId="10">
    <w:abstractNumId w:val="8"/>
  </w:num>
  <w:num w:numId="11">
    <w:abstractNumId w:val="5"/>
  </w:num>
  <w:num w:numId="12">
    <w:abstractNumId w:val="11"/>
  </w:num>
  <w:num w:numId="13">
    <w:abstractNumId w:val="7"/>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2583"/>
    <w:rsid w:val="0000704E"/>
    <w:rsid w:val="00016C5C"/>
    <w:rsid w:val="00016FF7"/>
    <w:rsid w:val="00021AE7"/>
    <w:rsid w:val="0002399A"/>
    <w:rsid w:val="00023B97"/>
    <w:rsid w:val="00023EDA"/>
    <w:rsid w:val="000324DA"/>
    <w:rsid w:val="000357EF"/>
    <w:rsid w:val="00053F19"/>
    <w:rsid w:val="0005758F"/>
    <w:rsid w:val="000622A3"/>
    <w:rsid w:val="000635FD"/>
    <w:rsid w:val="0006675E"/>
    <w:rsid w:val="000737B7"/>
    <w:rsid w:val="0008432B"/>
    <w:rsid w:val="00084550"/>
    <w:rsid w:val="00085DFC"/>
    <w:rsid w:val="00090B3A"/>
    <w:rsid w:val="00091FCA"/>
    <w:rsid w:val="00092F1D"/>
    <w:rsid w:val="0009591D"/>
    <w:rsid w:val="00097F37"/>
    <w:rsid w:val="000A0226"/>
    <w:rsid w:val="000A1C63"/>
    <w:rsid w:val="000A348E"/>
    <w:rsid w:val="000A5BDF"/>
    <w:rsid w:val="000B56F6"/>
    <w:rsid w:val="000B5B11"/>
    <w:rsid w:val="000D5300"/>
    <w:rsid w:val="000F47EA"/>
    <w:rsid w:val="0010225C"/>
    <w:rsid w:val="00102B14"/>
    <w:rsid w:val="00104A00"/>
    <w:rsid w:val="00105F15"/>
    <w:rsid w:val="00114125"/>
    <w:rsid w:val="00122F8D"/>
    <w:rsid w:val="00122FF2"/>
    <w:rsid w:val="00123718"/>
    <w:rsid w:val="00127E2E"/>
    <w:rsid w:val="001320D5"/>
    <w:rsid w:val="00132EAE"/>
    <w:rsid w:val="001377D4"/>
    <w:rsid w:val="00137D7A"/>
    <w:rsid w:val="00141EA3"/>
    <w:rsid w:val="00145054"/>
    <w:rsid w:val="001532E9"/>
    <w:rsid w:val="00154E3E"/>
    <w:rsid w:val="0015530D"/>
    <w:rsid w:val="0016007D"/>
    <w:rsid w:val="00167D36"/>
    <w:rsid w:val="00180C97"/>
    <w:rsid w:val="001972DC"/>
    <w:rsid w:val="001C512D"/>
    <w:rsid w:val="001D1B01"/>
    <w:rsid w:val="001D6372"/>
    <w:rsid w:val="001D7877"/>
    <w:rsid w:val="001E072F"/>
    <w:rsid w:val="001F15C8"/>
    <w:rsid w:val="001F2587"/>
    <w:rsid w:val="002050C4"/>
    <w:rsid w:val="00206D1C"/>
    <w:rsid w:val="0020733D"/>
    <w:rsid w:val="00217B67"/>
    <w:rsid w:val="00217C93"/>
    <w:rsid w:val="00223E09"/>
    <w:rsid w:val="00232B28"/>
    <w:rsid w:val="00234BA6"/>
    <w:rsid w:val="0024300A"/>
    <w:rsid w:val="00243CA3"/>
    <w:rsid w:val="0024734E"/>
    <w:rsid w:val="00247918"/>
    <w:rsid w:val="00247CCC"/>
    <w:rsid w:val="002501C2"/>
    <w:rsid w:val="0025103A"/>
    <w:rsid w:val="002574FE"/>
    <w:rsid w:val="0025755F"/>
    <w:rsid w:val="002700C6"/>
    <w:rsid w:val="0027087F"/>
    <w:rsid w:val="00270974"/>
    <w:rsid w:val="00270C52"/>
    <w:rsid w:val="00273A87"/>
    <w:rsid w:val="00286AE7"/>
    <w:rsid w:val="002921EB"/>
    <w:rsid w:val="002A66F3"/>
    <w:rsid w:val="002B0457"/>
    <w:rsid w:val="002C01D4"/>
    <w:rsid w:val="002C1D09"/>
    <w:rsid w:val="002C7A1C"/>
    <w:rsid w:val="002D016D"/>
    <w:rsid w:val="002D1AE7"/>
    <w:rsid w:val="002D565D"/>
    <w:rsid w:val="002D5E47"/>
    <w:rsid w:val="002E0C58"/>
    <w:rsid w:val="002E3037"/>
    <w:rsid w:val="002E5BC0"/>
    <w:rsid w:val="002F09DE"/>
    <w:rsid w:val="00304A83"/>
    <w:rsid w:val="00317428"/>
    <w:rsid w:val="0032235A"/>
    <w:rsid w:val="00333C44"/>
    <w:rsid w:val="00337745"/>
    <w:rsid w:val="00340B98"/>
    <w:rsid w:val="003502D0"/>
    <w:rsid w:val="00355A17"/>
    <w:rsid w:val="003568E2"/>
    <w:rsid w:val="00363682"/>
    <w:rsid w:val="00364B13"/>
    <w:rsid w:val="00371524"/>
    <w:rsid w:val="00374B82"/>
    <w:rsid w:val="00376504"/>
    <w:rsid w:val="00380F0C"/>
    <w:rsid w:val="00382A2B"/>
    <w:rsid w:val="0038366C"/>
    <w:rsid w:val="0038566D"/>
    <w:rsid w:val="003857E4"/>
    <w:rsid w:val="003A2026"/>
    <w:rsid w:val="003A21AC"/>
    <w:rsid w:val="003A310B"/>
    <w:rsid w:val="003B1162"/>
    <w:rsid w:val="003C495B"/>
    <w:rsid w:val="003D36A1"/>
    <w:rsid w:val="003D65AB"/>
    <w:rsid w:val="003D74E1"/>
    <w:rsid w:val="003E72DD"/>
    <w:rsid w:val="003F2C27"/>
    <w:rsid w:val="00414299"/>
    <w:rsid w:val="00415680"/>
    <w:rsid w:val="004176A4"/>
    <w:rsid w:val="004222C7"/>
    <w:rsid w:val="00427BD2"/>
    <w:rsid w:val="00440909"/>
    <w:rsid w:val="00443707"/>
    <w:rsid w:val="004453D4"/>
    <w:rsid w:val="00450569"/>
    <w:rsid w:val="004510DA"/>
    <w:rsid w:val="00453F69"/>
    <w:rsid w:val="0045520B"/>
    <w:rsid w:val="00455B4A"/>
    <w:rsid w:val="00457ECB"/>
    <w:rsid w:val="004671DF"/>
    <w:rsid w:val="004751A9"/>
    <w:rsid w:val="004802EC"/>
    <w:rsid w:val="004822B6"/>
    <w:rsid w:val="004920A6"/>
    <w:rsid w:val="004959DE"/>
    <w:rsid w:val="00495AFB"/>
    <w:rsid w:val="00496474"/>
    <w:rsid w:val="004A3B1B"/>
    <w:rsid w:val="004A6A9E"/>
    <w:rsid w:val="004B46F1"/>
    <w:rsid w:val="004B4F5F"/>
    <w:rsid w:val="004B619C"/>
    <w:rsid w:val="004B6FD8"/>
    <w:rsid w:val="004B7D4A"/>
    <w:rsid w:val="004C1E2D"/>
    <w:rsid w:val="004C3F7D"/>
    <w:rsid w:val="004C5815"/>
    <w:rsid w:val="00503B4B"/>
    <w:rsid w:val="00506DB4"/>
    <w:rsid w:val="00511179"/>
    <w:rsid w:val="00512C83"/>
    <w:rsid w:val="00514B48"/>
    <w:rsid w:val="005150E7"/>
    <w:rsid w:val="00515A3F"/>
    <w:rsid w:val="00521D11"/>
    <w:rsid w:val="005220FE"/>
    <w:rsid w:val="005225C7"/>
    <w:rsid w:val="00522E54"/>
    <w:rsid w:val="00523BBF"/>
    <w:rsid w:val="00527699"/>
    <w:rsid w:val="00532721"/>
    <w:rsid w:val="00535127"/>
    <w:rsid w:val="00536E73"/>
    <w:rsid w:val="00544AED"/>
    <w:rsid w:val="00556C92"/>
    <w:rsid w:val="00565B8D"/>
    <w:rsid w:val="005666D0"/>
    <w:rsid w:val="00570026"/>
    <w:rsid w:val="0058255B"/>
    <w:rsid w:val="00584AC4"/>
    <w:rsid w:val="00585843"/>
    <w:rsid w:val="00586D79"/>
    <w:rsid w:val="005969DC"/>
    <w:rsid w:val="005A5581"/>
    <w:rsid w:val="005A6E9A"/>
    <w:rsid w:val="005B2AC1"/>
    <w:rsid w:val="005B3B74"/>
    <w:rsid w:val="005B6E8E"/>
    <w:rsid w:val="005C1953"/>
    <w:rsid w:val="005C7A58"/>
    <w:rsid w:val="005D02EA"/>
    <w:rsid w:val="005E0355"/>
    <w:rsid w:val="005E3371"/>
    <w:rsid w:val="005E4011"/>
    <w:rsid w:val="0060117E"/>
    <w:rsid w:val="006016BA"/>
    <w:rsid w:val="00603745"/>
    <w:rsid w:val="00605662"/>
    <w:rsid w:val="0060601B"/>
    <w:rsid w:val="00612583"/>
    <w:rsid w:val="00616C77"/>
    <w:rsid w:val="006173A2"/>
    <w:rsid w:val="00622405"/>
    <w:rsid w:val="0062755B"/>
    <w:rsid w:val="0063281C"/>
    <w:rsid w:val="00633112"/>
    <w:rsid w:val="00633A70"/>
    <w:rsid w:val="00641A2A"/>
    <w:rsid w:val="00654F6F"/>
    <w:rsid w:val="006567D8"/>
    <w:rsid w:val="0065731F"/>
    <w:rsid w:val="006633BA"/>
    <w:rsid w:val="00665D30"/>
    <w:rsid w:val="006662C7"/>
    <w:rsid w:val="00666ACF"/>
    <w:rsid w:val="006675E4"/>
    <w:rsid w:val="0069143E"/>
    <w:rsid w:val="00691785"/>
    <w:rsid w:val="00692B59"/>
    <w:rsid w:val="00697EFC"/>
    <w:rsid w:val="006A005D"/>
    <w:rsid w:val="006A1946"/>
    <w:rsid w:val="006A4E2F"/>
    <w:rsid w:val="006A4EF8"/>
    <w:rsid w:val="006B06DC"/>
    <w:rsid w:val="006B1436"/>
    <w:rsid w:val="006B1FD0"/>
    <w:rsid w:val="006B2881"/>
    <w:rsid w:val="006B5269"/>
    <w:rsid w:val="006B6946"/>
    <w:rsid w:val="006B6E72"/>
    <w:rsid w:val="006B7F59"/>
    <w:rsid w:val="006D2820"/>
    <w:rsid w:val="006E1936"/>
    <w:rsid w:val="006F2EFD"/>
    <w:rsid w:val="006F304F"/>
    <w:rsid w:val="00701C4A"/>
    <w:rsid w:val="00716826"/>
    <w:rsid w:val="00722336"/>
    <w:rsid w:val="00725B22"/>
    <w:rsid w:val="00732029"/>
    <w:rsid w:val="00732067"/>
    <w:rsid w:val="007406F5"/>
    <w:rsid w:val="007459EC"/>
    <w:rsid w:val="00755423"/>
    <w:rsid w:val="00765A2C"/>
    <w:rsid w:val="0076721A"/>
    <w:rsid w:val="00773323"/>
    <w:rsid w:val="00774EF7"/>
    <w:rsid w:val="007806D7"/>
    <w:rsid w:val="00780910"/>
    <w:rsid w:val="00783026"/>
    <w:rsid w:val="00786ADE"/>
    <w:rsid w:val="007912BD"/>
    <w:rsid w:val="00797F8B"/>
    <w:rsid w:val="007A0C8E"/>
    <w:rsid w:val="007A1048"/>
    <w:rsid w:val="007A3148"/>
    <w:rsid w:val="007A66EE"/>
    <w:rsid w:val="007B282F"/>
    <w:rsid w:val="007B3164"/>
    <w:rsid w:val="007B6E0C"/>
    <w:rsid w:val="007C1477"/>
    <w:rsid w:val="007C2C0A"/>
    <w:rsid w:val="007D0F8B"/>
    <w:rsid w:val="007D1DEC"/>
    <w:rsid w:val="007D4A67"/>
    <w:rsid w:val="007D4E6E"/>
    <w:rsid w:val="007D64C1"/>
    <w:rsid w:val="007E7127"/>
    <w:rsid w:val="007E72A5"/>
    <w:rsid w:val="007F3D72"/>
    <w:rsid w:val="007F47E6"/>
    <w:rsid w:val="0081176E"/>
    <w:rsid w:val="008136C7"/>
    <w:rsid w:val="008215B7"/>
    <w:rsid w:val="0082186F"/>
    <w:rsid w:val="00821B89"/>
    <w:rsid w:val="008242FF"/>
    <w:rsid w:val="00826DC5"/>
    <w:rsid w:val="00835CD7"/>
    <w:rsid w:val="00836995"/>
    <w:rsid w:val="008503FA"/>
    <w:rsid w:val="0085063F"/>
    <w:rsid w:val="00854C54"/>
    <w:rsid w:val="008569C2"/>
    <w:rsid w:val="00871114"/>
    <w:rsid w:val="00873020"/>
    <w:rsid w:val="008752DE"/>
    <w:rsid w:val="00876093"/>
    <w:rsid w:val="00880004"/>
    <w:rsid w:val="00884F2B"/>
    <w:rsid w:val="00887D76"/>
    <w:rsid w:val="0089373B"/>
    <w:rsid w:val="008A0163"/>
    <w:rsid w:val="008A2E4A"/>
    <w:rsid w:val="008A64BB"/>
    <w:rsid w:val="008A7F2F"/>
    <w:rsid w:val="008C1322"/>
    <w:rsid w:val="008C33D5"/>
    <w:rsid w:val="008C505B"/>
    <w:rsid w:val="008D010C"/>
    <w:rsid w:val="008D742D"/>
    <w:rsid w:val="008E6F2C"/>
    <w:rsid w:val="008F16D9"/>
    <w:rsid w:val="00900B27"/>
    <w:rsid w:val="009175D1"/>
    <w:rsid w:val="009206FC"/>
    <w:rsid w:val="009214E1"/>
    <w:rsid w:val="00924741"/>
    <w:rsid w:val="00925CAA"/>
    <w:rsid w:val="009265EB"/>
    <w:rsid w:val="00926764"/>
    <w:rsid w:val="009308B3"/>
    <w:rsid w:val="00930935"/>
    <w:rsid w:val="009311A0"/>
    <w:rsid w:val="009328D8"/>
    <w:rsid w:val="00933BE1"/>
    <w:rsid w:val="0093529C"/>
    <w:rsid w:val="00937939"/>
    <w:rsid w:val="00937E55"/>
    <w:rsid w:val="00941D70"/>
    <w:rsid w:val="0095035C"/>
    <w:rsid w:val="00952B61"/>
    <w:rsid w:val="0095426C"/>
    <w:rsid w:val="00957833"/>
    <w:rsid w:val="00961A6F"/>
    <w:rsid w:val="0096528D"/>
    <w:rsid w:val="00966900"/>
    <w:rsid w:val="00972F0C"/>
    <w:rsid w:val="0097404D"/>
    <w:rsid w:val="00981404"/>
    <w:rsid w:val="00982591"/>
    <w:rsid w:val="00984514"/>
    <w:rsid w:val="0098517D"/>
    <w:rsid w:val="009860F3"/>
    <w:rsid w:val="00990272"/>
    <w:rsid w:val="0099698B"/>
    <w:rsid w:val="009A5DE0"/>
    <w:rsid w:val="009B0257"/>
    <w:rsid w:val="009B5AE4"/>
    <w:rsid w:val="009B7914"/>
    <w:rsid w:val="009C5A64"/>
    <w:rsid w:val="009C5F1C"/>
    <w:rsid w:val="009D4A2A"/>
    <w:rsid w:val="009D77CF"/>
    <w:rsid w:val="009E08B9"/>
    <w:rsid w:val="009F11E5"/>
    <w:rsid w:val="009F217F"/>
    <w:rsid w:val="009F33DD"/>
    <w:rsid w:val="009F3667"/>
    <w:rsid w:val="009F49E1"/>
    <w:rsid w:val="009F796A"/>
    <w:rsid w:val="009F7D4A"/>
    <w:rsid w:val="00A01CA9"/>
    <w:rsid w:val="00A0423F"/>
    <w:rsid w:val="00A063D1"/>
    <w:rsid w:val="00A12B61"/>
    <w:rsid w:val="00A12D85"/>
    <w:rsid w:val="00A20989"/>
    <w:rsid w:val="00A210EC"/>
    <w:rsid w:val="00A24953"/>
    <w:rsid w:val="00A27C9C"/>
    <w:rsid w:val="00A35774"/>
    <w:rsid w:val="00A37260"/>
    <w:rsid w:val="00A372FA"/>
    <w:rsid w:val="00A40112"/>
    <w:rsid w:val="00A44065"/>
    <w:rsid w:val="00A463C7"/>
    <w:rsid w:val="00A46B74"/>
    <w:rsid w:val="00A51B26"/>
    <w:rsid w:val="00A552EE"/>
    <w:rsid w:val="00A60B95"/>
    <w:rsid w:val="00A707E3"/>
    <w:rsid w:val="00A72728"/>
    <w:rsid w:val="00A75193"/>
    <w:rsid w:val="00A7588D"/>
    <w:rsid w:val="00A75CC6"/>
    <w:rsid w:val="00A833F2"/>
    <w:rsid w:val="00A84D1A"/>
    <w:rsid w:val="00A95B1D"/>
    <w:rsid w:val="00A95E25"/>
    <w:rsid w:val="00A97D6C"/>
    <w:rsid w:val="00AB1CA9"/>
    <w:rsid w:val="00AB3038"/>
    <w:rsid w:val="00AC22B8"/>
    <w:rsid w:val="00AC5A3C"/>
    <w:rsid w:val="00AD030B"/>
    <w:rsid w:val="00AD0D6B"/>
    <w:rsid w:val="00AD3F62"/>
    <w:rsid w:val="00AD4348"/>
    <w:rsid w:val="00AD468F"/>
    <w:rsid w:val="00AD7279"/>
    <w:rsid w:val="00AF213B"/>
    <w:rsid w:val="00AF28E8"/>
    <w:rsid w:val="00AF3AE0"/>
    <w:rsid w:val="00AF75F0"/>
    <w:rsid w:val="00B00717"/>
    <w:rsid w:val="00B01D88"/>
    <w:rsid w:val="00B0226B"/>
    <w:rsid w:val="00B06570"/>
    <w:rsid w:val="00B07420"/>
    <w:rsid w:val="00B12C41"/>
    <w:rsid w:val="00B2329A"/>
    <w:rsid w:val="00B2363A"/>
    <w:rsid w:val="00B263BC"/>
    <w:rsid w:val="00B32C04"/>
    <w:rsid w:val="00B3569A"/>
    <w:rsid w:val="00B432CE"/>
    <w:rsid w:val="00B45FC0"/>
    <w:rsid w:val="00B54011"/>
    <w:rsid w:val="00B54B33"/>
    <w:rsid w:val="00B55E62"/>
    <w:rsid w:val="00B55F98"/>
    <w:rsid w:val="00B5661B"/>
    <w:rsid w:val="00B56E39"/>
    <w:rsid w:val="00B5773F"/>
    <w:rsid w:val="00B603DE"/>
    <w:rsid w:val="00B60A0C"/>
    <w:rsid w:val="00B617D7"/>
    <w:rsid w:val="00B62B04"/>
    <w:rsid w:val="00B63AA7"/>
    <w:rsid w:val="00B63D54"/>
    <w:rsid w:val="00B65E75"/>
    <w:rsid w:val="00B661E7"/>
    <w:rsid w:val="00B66A30"/>
    <w:rsid w:val="00B676C3"/>
    <w:rsid w:val="00B7531A"/>
    <w:rsid w:val="00B803D3"/>
    <w:rsid w:val="00B80A51"/>
    <w:rsid w:val="00B80F94"/>
    <w:rsid w:val="00B92426"/>
    <w:rsid w:val="00B92829"/>
    <w:rsid w:val="00B95D62"/>
    <w:rsid w:val="00BA5E33"/>
    <w:rsid w:val="00BB4784"/>
    <w:rsid w:val="00BB7316"/>
    <w:rsid w:val="00BE29BE"/>
    <w:rsid w:val="00BF1A48"/>
    <w:rsid w:val="00BF2968"/>
    <w:rsid w:val="00BF5B9F"/>
    <w:rsid w:val="00C04A3F"/>
    <w:rsid w:val="00C04C9C"/>
    <w:rsid w:val="00C2009F"/>
    <w:rsid w:val="00C245D0"/>
    <w:rsid w:val="00C31B8D"/>
    <w:rsid w:val="00C33135"/>
    <w:rsid w:val="00C33654"/>
    <w:rsid w:val="00C34B06"/>
    <w:rsid w:val="00C438F0"/>
    <w:rsid w:val="00C4465C"/>
    <w:rsid w:val="00C47CC4"/>
    <w:rsid w:val="00C52741"/>
    <w:rsid w:val="00C6081C"/>
    <w:rsid w:val="00C76852"/>
    <w:rsid w:val="00C805FA"/>
    <w:rsid w:val="00C8472D"/>
    <w:rsid w:val="00C84E26"/>
    <w:rsid w:val="00C97985"/>
    <w:rsid w:val="00C97A5F"/>
    <w:rsid w:val="00CA7D7C"/>
    <w:rsid w:val="00CB703D"/>
    <w:rsid w:val="00CC1838"/>
    <w:rsid w:val="00CC44EE"/>
    <w:rsid w:val="00CE31A7"/>
    <w:rsid w:val="00CF061B"/>
    <w:rsid w:val="00CF4D4F"/>
    <w:rsid w:val="00CF67AE"/>
    <w:rsid w:val="00CF755C"/>
    <w:rsid w:val="00D00B28"/>
    <w:rsid w:val="00D17044"/>
    <w:rsid w:val="00D2256A"/>
    <w:rsid w:val="00D22C44"/>
    <w:rsid w:val="00D2322A"/>
    <w:rsid w:val="00D26636"/>
    <w:rsid w:val="00D269C8"/>
    <w:rsid w:val="00D30080"/>
    <w:rsid w:val="00D3052A"/>
    <w:rsid w:val="00D33206"/>
    <w:rsid w:val="00D4293A"/>
    <w:rsid w:val="00D4336C"/>
    <w:rsid w:val="00D43B0C"/>
    <w:rsid w:val="00D44E7B"/>
    <w:rsid w:val="00D47473"/>
    <w:rsid w:val="00D546A9"/>
    <w:rsid w:val="00D62FCB"/>
    <w:rsid w:val="00D637F5"/>
    <w:rsid w:val="00D6580D"/>
    <w:rsid w:val="00D7056D"/>
    <w:rsid w:val="00D714BF"/>
    <w:rsid w:val="00D73671"/>
    <w:rsid w:val="00D73AF2"/>
    <w:rsid w:val="00D74BB0"/>
    <w:rsid w:val="00D75310"/>
    <w:rsid w:val="00D7744E"/>
    <w:rsid w:val="00D8136D"/>
    <w:rsid w:val="00D906BE"/>
    <w:rsid w:val="00D95CED"/>
    <w:rsid w:val="00D96A3F"/>
    <w:rsid w:val="00D97C12"/>
    <w:rsid w:val="00DA102D"/>
    <w:rsid w:val="00DA5923"/>
    <w:rsid w:val="00DA5AEF"/>
    <w:rsid w:val="00DA712A"/>
    <w:rsid w:val="00DA7B63"/>
    <w:rsid w:val="00DB3D6B"/>
    <w:rsid w:val="00DB4427"/>
    <w:rsid w:val="00DB4D7E"/>
    <w:rsid w:val="00DC23EA"/>
    <w:rsid w:val="00DE1410"/>
    <w:rsid w:val="00DE5012"/>
    <w:rsid w:val="00DF0160"/>
    <w:rsid w:val="00DF3E25"/>
    <w:rsid w:val="00E04C75"/>
    <w:rsid w:val="00E10344"/>
    <w:rsid w:val="00E162CE"/>
    <w:rsid w:val="00E27B8B"/>
    <w:rsid w:val="00E310B2"/>
    <w:rsid w:val="00E41697"/>
    <w:rsid w:val="00E47846"/>
    <w:rsid w:val="00E530F6"/>
    <w:rsid w:val="00E55293"/>
    <w:rsid w:val="00E62118"/>
    <w:rsid w:val="00E6224D"/>
    <w:rsid w:val="00E712C0"/>
    <w:rsid w:val="00E71500"/>
    <w:rsid w:val="00E72295"/>
    <w:rsid w:val="00E75C3E"/>
    <w:rsid w:val="00E82D74"/>
    <w:rsid w:val="00E84512"/>
    <w:rsid w:val="00E952BF"/>
    <w:rsid w:val="00E96BBA"/>
    <w:rsid w:val="00EA079F"/>
    <w:rsid w:val="00EA3A0B"/>
    <w:rsid w:val="00EB155D"/>
    <w:rsid w:val="00EB51F7"/>
    <w:rsid w:val="00EC0607"/>
    <w:rsid w:val="00EC1B5E"/>
    <w:rsid w:val="00EC3B34"/>
    <w:rsid w:val="00EC58EF"/>
    <w:rsid w:val="00EC66A6"/>
    <w:rsid w:val="00ED0274"/>
    <w:rsid w:val="00EF0B72"/>
    <w:rsid w:val="00EF1D7B"/>
    <w:rsid w:val="00EF3ED5"/>
    <w:rsid w:val="00EF7970"/>
    <w:rsid w:val="00F03251"/>
    <w:rsid w:val="00F03C84"/>
    <w:rsid w:val="00F06619"/>
    <w:rsid w:val="00F07DA6"/>
    <w:rsid w:val="00F13695"/>
    <w:rsid w:val="00F252CB"/>
    <w:rsid w:val="00F27F08"/>
    <w:rsid w:val="00F3229D"/>
    <w:rsid w:val="00F346D8"/>
    <w:rsid w:val="00F37419"/>
    <w:rsid w:val="00F37A7F"/>
    <w:rsid w:val="00F40139"/>
    <w:rsid w:val="00F40CCA"/>
    <w:rsid w:val="00F42258"/>
    <w:rsid w:val="00F45811"/>
    <w:rsid w:val="00F54FE2"/>
    <w:rsid w:val="00F56C75"/>
    <w:rsid w:val="00F67ECB"/>
    <w:rsid w:val="00F76DD1"/>
    <w:rsid w:val="00F870BA"/>
    <w:rsid w:val="00F90BCC"/>
    <w:rsid w:val="00F93C68"/>
    <w:rsid w:val="00F93EAA"/>
    <w:rsid w:val="00F9442E"/>
    <w:rsid w:val="00FA35DE"/>
    <w:rsid w:val="00FA63E7"/>
    <w:rsid w:val="00FA7C72"/>
    <w:rsid w:val="00FB19E6"/>
    <w:rsid w:val="00FB7788"/>
    <w:rsid w:val="00FE01D0"/>
    <w:rsid w:val="00FE238F"/>
    <w:rsid w:val="00FE3F34"/>
    <w:rsid w:val="00FE4527"/>
    <w:rsid w:val="00FF16B3"/>
    <w:rsid w:val="00FF1B67"/>
    <w:rsid w:val="00FF34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B75D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7D7C"/>
    <w:pPr>
      <w:ind w:left="720"/>
      <w:contextualSpacing/>
    </w:pPr>
  </w:style>
  <w:style w:type="paragraph" w:styleId="FootnoteText">
    <w:name w:val="footnote text"/>
    <w:basedOn w:val="Normal"/>
    <w:link w:val="FootnoteTextChar"/>
    <w:uiPriority w:val="99"/>
    <w:unhideWhenUsed/>
    <w:rsid w:val="00FE01D0"/>
    <w:pPr>
      <w:spacing w:after="0" w:line="240" w:lineRule="auto"/>
    </w:pPr>
    <w:rPr>
      <w:sz w:val="24"/>
      <w:szCs w:val="24"/>
    </w:rPr>
  </w:style>
  <w:style w:type="character" w:customStyle="1" w:styleId="FootnoteTextChar">
    <w:name w:val="Footnote Text Char"/>
    <w:basedOn w:val="DefaultParagraphFont"/>
    <w:link w:val="FootnoteText"/>
    <w:uiPriority w:val="99"/>
    <w:rsid w:val="00FE01D0"/>
    <w:rPr>
      <w:sz w:val="24"/>
      <w:szCs w:val="24"/>
    </w:rPr>
  </w:style>
  <w:style w:type="character" w:styleId="FootnoteReference">
    <w:name w:val="footnote reference"/>
    <w:basedOn w:val="DefaultParagraphFont"/>
    <w:uiPriority w:val="99"/>
    <w:unhideWhenUsed/>
    <w:rsid w:val="00FE01D0"/>
    <w:rPr>
      <w:vertAlign w:val="superscript"/>
    </w:rPr>
  </w:style>
  <w:style w:type="paragraph" w:styleId="Footer">
    <w:name w:val="footer"/>
    <w:basedOn w:val="Normal"/>
    <w:link w:val="FooterChar"/>
    <w:uiPriority w:val="99"/>
    <w:unhideWhenUsed/>
    <w:rsid w:val="006E1936"/>
    <w:pPr>
      <w:tabs>
        <w:tab w:val="center" w:pos="4320"/>
        <w:tab w:val="right" w:pos="8640"/>
      </w:tabs>
      <w:spacing w:after="0" w:line="240" w:lineRule="auto"/>
    </w:pPr>
  </w:style>
  <w:style w:type="character" w:customStyle="1" w:styleId="FooterChar">
    <w:name w:val="Footer Char"/>
    <w:basedOn w:val="DefaultParagraphFont"/>
    <w:link w:val="Footer"/>
    <w:uiPriority w:val="99"/>
    <w:rsid w:val="006E1936"/>
  </w:style>
  <w:style w:type="character" w:styleId="PageNumber">
    <w:name w:val="page number"/>
    <w:basedOn w:val="DefaultParagraphFont"/>
    <w:uiPriority w:val="99"/>
    <w:semiHidden/>
    <w:unhideWhenUsed/>
    <w:rsid w:val="006E1936"/>
  </w:style>
  <w:style w:type="paragraph" w:styleId="Header">
    <w:name w:val="header"/>
    <w:basedOn w:val="Normal"/>
    <w:link w:val="HeaderChar"/>
    <w:uiPriority w:val="99"/>
    <w:unhideWhenUsed/>
    <w:rsid w:val="006E1936"/>
    <w:pPr>
      <w:tabs>
        <w:tab w:val="center" w:pos="4320"/>
        <w:tab w:val="right" w:pos="8640"/>
      </w:tabs>
      <w:spacing w:after="0" w:line="240" w:lineRule="auto"/>
    </w:pPr>
  </w:style>
  <w:style w:type="character" w:customStyle="1" w:styleId="HeaderChar">
    <w:name w:val="Header Char"/>
    <w:basedOn w:val="DefaultParagraphFont"/>
    <w:link w:val="Header"/>
    <w:uiPriority w:val="99"/>
    <w:rsid w:val="006E1936"/>
  </w:style>
  <w:style w:type="character" w:styleId="Hyperlink">
    <w:name w:val="Hyperlink"/>
    <w:basedOn w:val="DefaultParagraphFont"/>
    <w:uiPriority w:val="99"/>
    <w:unhideWhenUsed/>
    <w:rsid w:val="00270C52"/>
    <w:rPr>
      <w:color w:val="0000FF" w:themeColor="hyperlink"/>
      <w:u w:val="single"/>
    </w:rPr>
  </w:style>
  <w:style w:type="table" w:styleId="TableGrid">
    <w:name w:val="Table Grid"/>
    <w:basedOn w:val="TableNormal"/>
    <w:uiPriority w:val="59"/>
    <w:rsid w:val="001E07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D027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7D7C"/>
    <w:pPr>
      <w:ind w:left="720"/>
      <w:contextualSpacing/>
    </w:pPr>
  </w:style>
  <w:style w:type="paragraph" w:styleId="FootnoteText">
    <w:name w:val="footnote text"/>
    <w:basedOn w:val="Normal"/>
    <w:link w:val="FootnoteTextChar"/>
    <w:uiPriority w:val="99"/>
    <w:unhideWhenUsed/>
    <w:rsid w:val="00FE01D0"/>
    <w:pPr>
      <w:spacing w:after="0" w:line="240" w:lineRule="auto"/>
    </w:pPr>
    <w:rPr>
      <w:sz w:val="24"/>
      <w:szCs w:val="24"/>
    </w:rPr>
  </w:style>
  <w:style w:type="character" w:customStyle="1" w:styleId="FootnoteTextChar">
    <w:name w:val="Footnote Text Char"/>
    <w:basedOn w:val="DefaultParagraphFont"/>
    <w:link w:val="FootnoteText"/>
    <w:uiPriority w:val="99"/>
    <w:rsid w:val="00FE01D0"/>
    <w:rPr>
      <w:sz w:val="24"/>
      <w:szCs w:val="24"/>
    </w:rPr>
  </w:style>
  <w:style w:type="character" w:styleId="FootnoteReference">
    <w:name w:val="footnote reference"/>
    <w:basedOn w:val="DefaultParagraphFont"/>
    <w:uiPriority w:val="99"/>
    <w:unhideWhenUsed/>
    <w:rsid w:val="00FE01D0"/>
    <w:rPr>
      <w:vertAlign w:val="superscript"/>
    </w:rPr>
  </w:style>
  <w:style w:type="paragraph" w:styleId="Footer">
    <w:name w:val="footer"/>
    <w:basedOn w:val="Normal"/>
    <w:link w:val="FooterChar"/>
    <w:uiPriority w:val="99"/>
    <w:unhideWhenUsed/>
    <w:rsid w:val="006E1936"/>
    <w:pPr>
      <w:tabs>
        <w:tab w:val="center" w:pos="4320"/>
        <w:tab w:val="right" w:pos="8640"/>
      </w:tabs>
      <w:spacing w:after="0" w:line="240" w:lineRule="auto"/>
    </w:pPr>
  </w:style>
  <w:style w:type="character" w:customStyle="1" w:styleId="FooterChar">
    <w:name w:val="Footer Char"/>
    <w:basedOn w:val="DefaultParagraphFont"/>
    <w:link w:val="Footer"/>
    <w:uiPriority w:val="99"/>
    <w:rsid w:val="006E1936"/>
  </w:style>
  <w:style w:type="character" w:styleId="PageNumber">
    <w:name w:val="page number"/>
    <w:basedOn w:val="DefaultParagraphFont"/>
    <w:uiPriority w:val="99"/>
    <w:semiHidden/>
    <w:unhideWhenUsed/>
    <w:rsid w:val="006E1936"/>
  </w:style>
  <w:style w:type="paragraph" w:styleId="Header">
    <w:name w:val="header"/>
    <w:basedOn w:val="Normal"/>
    <w:link w:val="HeaderChar"/>
    <w:uiPriority w:val="99"/>
    <w:unhideWhenUsed/>
    <w:rsid w:val="006E1936"/>
    <w:pPr>
      <w:tabs>
        <w:tab w:val="center" w:pos="4320"/>
        <w:tab w:val="right" w:pos="8640"/>
      </w:tabs>
      <w:spacing w:after="0" w:line="240" w:lineRule="auto"/>
    </w:pPr>
  </w:style>
  <w:style w:type="character" w:customStyle="1" w:styleId="HeaderChar">
    <w:name w:val="Header Char"/>
    <w:basedOn w:val="DefaultParagraphFont"/>
    <w:link w:val="Header"/>
    <w:uiPriority w:val="99"/>
    <w:rsid w:val="006E1936"/>
  </w:style>
  <w:style w:type="character" w:styleId="Hyperlink">
    <w:name w:val="Hyperlink"/>
    <w:basedOn w:val="DefaultParagraphFont"/>
    <w:uiPriority w:val="99"/>
    <w:unhideWhenUsed/>
    <w:rsid w:val="00270C52"/>
    <w:rPr>
      <w:color w:val="0000FF" w:themeColor="hyperlink"/>
      <w:u w:val="single"/>
    </w:rPr>
  </w:style>
  <w:style w:type="table" w:styleId="TableGrid">
    <w:name w:val="Table Grid"/>
    <w:basedOn w:val="TableNormal"/>
    <w:uiPriority w:val="59"/>
    <w:rsid w:val="001E07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D027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1286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reptileverdict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27309F-0889-4DF8-B1D6-F25227474C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E739F8F0.dotm</Template>
  <TotalTime>746</TotalTime>
  <Pages>16</Pages>
  <Words>3472</Words>
  <Characters>19793</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GRSMB</Company>
  <LinksUpToDate>false</LinksUpToDate>
  <CharactersWithSpaces>23219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 Drew Gilliland</dc:creator>
  <cp:lastModifiedBy>Jeff M. Wassick</cp:lastModifiedBy>
  <cp:revision>228</cp:revision>
  <cp:lastPrinted>2018-03-01T01:05:00Z</cp:lastPrinted>
  <dcterms:created xsi:type="dcterms:W3CDTF">2017-03-28T13:44:00Z</dcterms:created>
  <dcterms:modified xsi:type="dcterms:W3CDTF">2018-03-01T03:30:00Z</dcterms:modified>
</cp:coreProperties>
</file>